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F37" w:rsidRPr="00901E26" w:rsidRDefault="00CD5A71" w:rsidP="00901E26">
      <w:pPr>
        <w:spacing w:line="360" w:lineRule="auto"/>
        <w:rPr>
          <w:rFonts w:ascii="Times New Roman" w:hAnsi="Times New Roman" w:cs="Times New Roman"/>
          <w:sz w:val="24"/>
          <w:szCs w:val="24"/>
        </w:rPr>
      </w:pPr>
      <w:bookmarkStart w:id="0" w:name="_GoBack"/>
      <w:bookmarkEnd w:id="0"/>
    </w:p>
    <w:p w:rsidR="007671CA" w:rsidRPr="00901E26" w:rsidRDefault="007671CA" w:rsidP="00901E26">
      <w:pPr>
        <w:spacing w:line="360" w:lineRule="auto"/>
        <w:rPr>
          <w:rFonts w:ascii="Times New Roman" w:hAnsi="Times New Roman" w:cs="Times New Roman"/>
          <w:sz w:val="24"/>
          <w:szCs w:val="24"/>
        </w:rPr>
      </w:pPr>
    </w:p>
    <w:p w:rsidR="007671CA" w:rsidRPr="00901E26" w:rsidRDefault="00D451CF" w:rsidP="00901E26">
      <w:pPr>
        <w:spacing w:line="360" w:lineRule="auto"/>
        <w:rPr>
          <w:rFonts w:ascii="Times New Roman" w:hAnsi="Times New Roman" w:cs="Times New Roman"/>
          <w:sz w:val="24"/>
          <w:szCs w:val="24"/>
        </w:rPr>
      </w:pPr>
      <w:r w:rsidRPr="00F97688">
        <w:rPr>
          <w:rFonts w:ascii="Times New Roman" w:hAnsi="Times New Roman" w:cs="Times New Roman"/>
          <w:noProof/>
          <w:sz w:val="24"/>
          <w:szCs w:val="24"/>
        </w:rPr>
        <w:drawing>
          <wp:inline distT="0" distB="0" distL="0" distR="0" wp14:anchorId="2B6CD2C9" wp14:editId="08DF2484">
            <wp:extent cx="5943600" cy="1438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438275"/>
                    </a:xfrm>
                    <a:prstGeom prst="rect">
                      <a:avLst/>
                    </a:prstGeom>
                    <a:noFill/>
                    <a:ln>
                      <a:noFill/>
                    </a:ln>
                  </pic:spPr>
                </pic:pic>
              </a:graphicData>
            </a:graphic>
          </wp:inline>
        </w:drawing>
      </w:r>
    </w:p>
    <w:p w:rsidR="007671CA" w:rsidRPr="00901E26" w:rsidRDefault="007671CA" w:rsidP="00901E26">
      <w:p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t>Statement Prepared for the Joint Economic Committee Hearing on</w:t>
      </w:r>
    </w:p>
    <w:p w:rsidR="007671CA" w:rsidRPr="00901E26" w:rsidRDefault="007671CA" w:rsidP="00901E26">
      <w:pPr>
        <w:spacing w:line="360" w:lineRule="auto"/>
        <w:rPr>
          <w:rFonts w:ascii="Times New Roman" w:hAnsi="Times New Roman" w:cs="Times New Roman"/>
          <w:sz w:val="24"/>
          <w:szCs w:val="24"/>
        </w:rPr>
      </w:pPr>
    </w:p>
    <w:p w:rsidR="007671CA" w:rsidRPr="00F97688" w:rsidRDefault="007671CA" w:rsidP="00901E26">
      <w:pPr>
        <w:spacing w:line="360" w:lineRule="auto"/>
        <w:jc w:val="center"/>
        <w:rPr>
          <w:rFonts w:ascii="Times New Roman" w:hAnsi="Times New Roman" w:cs="Times New Roman"/>
          <w:b/>
          <w:sz w:val="24"/>
          <w:szCs w:val="24"/>
        </w:rPr>
      </w:pPr>
      <w:r w:rsidRPr="00F97688">
        <w:rPr>
          <w:rFonts w:ascii="Times New Roman" w:hAnsi="Times New Roman" w:cs="Times New Roman"/>
          <w:b/>
          <w:sz w:val="24"/>
          <w:szCs w:val="24"/>
        </w:rPr>
        <w:t>Income Inequality in the United States</w:t>
      </w:r>
    </w:p>
    <w:p w:rsidR="007671CA" w:rsidRPr="00901E26" w:rsidRDefault="007671CA" w:rsidP="00901E26">
      <w:pPr>
        <w:spacing w:line="360" w:lineRule="auto"/>
        <w:jc w:val="center"/>
        <w:rPr>
          <w:rFonts w:ascii="Times New Roman" w:hAnsi="Times New Roman" w:cs="Times New Roman"/>
          <w:sz w:val="24"/>
          <w:szCs w:val="24"/>
        </w:rPr>
      </w:pPr>
    </w:p>
    <w:p w:rsidR="007671CA" w:rsidRPr="00901E26" w:rsidRDefault="007671CA" w:rsidP="00901E26">
      <w:pPr>
        <w:spacing w:line="360" w:lineRule="auto"/>
        <w:jc w:val="center"/>
        <w:rPr>
          <w:rFonts w:ascii="Times New Roman" w:hAnsi="Times New Roman" w:cs="Times New Roman"/>
          <w:sz w:val="24"/>
          <w:szCs w:val="24"/>
        </w:rPr>
      </w:pPr>
    </w:p>
    <w:p w:rsidR="007671CA" w:rsidRPr="00901E26" w:rsidRDefault="007671CA" w:rsidP="00901E26">
      <w:pPr>
        <w:spacing w:line="360" w:lineRule="auto"/>
        <w:jc w:val="center"/>
        <w:rPr>
          <w:rFonts w:ascii="Times New Roman" w:hAnsi="Times New Roman" w:cs="Times New Roman"/>
          <w:sz w:val="24"/>
          <w:szCs w:val="24"/>
        </w:rPr>
      </w:pPr>
    </w:p>
    <w:p w:rsidR="007671CA" w:rsidRPr="00901E26" w:rsidRDefault="007671CA" w:rsidP="00901E26">
      <w:p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t>Aparna Mathur</w:t>
      </w:r>
    </w:p>
    <w:p w:rsidR="007671CA" w:rsidRPr="00901E26" w:rsidRDefault="007671CA" w:rsidP="00901E26">
      <w:p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t>Resident Scholar in Economic Policy Studies</w:t>
      </w:r>
    </w:p>
    <w:p w:rsidR="007671CA" w:rsidRDefault="007671CA" w:rsidP="00901E26">
      <w:p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t>American Enterprise Institute</w:t>
      </w:r>
    </w:p>
    <w:p w:rsidR="00D451CF" w:rsidRPr="00901E26" w:rsidRDefault="00D451CF" w:rsidP="00901E26">
      <w:pPr>
        <w:spacing w:line="360" w:lineRule="auto"/>
        <w:jc w:val="center"/>
        <w:rPr>
          <w:rFonts w:ascii="Times New Roman" w:hAnsi="Times New Roman" w:cs="Times New Roman"/>
          <w:sz w:val="24"/>
          <w:szCs w:val="24"/>
        </w:rPr>
      </w:pPr>
      <w:r>
        <w:rPr>
          <w:rFonts w:ascii="Times New Roman" w:hAnsi="Times New Roman" w:cs="Times New Roman"/>
          <w:sz w:val="24"/>
          <w:szCs w:val="24"/>
        </w:rPr>
        <w:t>Thursday, January 16, 2014</w:t>
      </w:r>
    </w:p>
    <w:p w:rsidR="007671CA" w:rsidRDefault="007671CA" w:rsidP="00901E26">
      <w:pPr>
        <w:spacing w:line="360" w:lineRule="auto"/>
        <w:jc w:val="center"/>
        <w:rPr>
          <w:rFonts w:ascii="Times New Roman" w:hAnsi="Times New Roman" w:cs="Times New Roman"/>
          <w:sz w:val="24"/>
          <w:szCs w:val="24"/>
        </w:rPr>
      </w:pPr>
    </w:p>
    <w:p w:rsidR="00B34C7C" w:rsidRDefault="00B34C7C" w:rsidP="00F97688">
      <w:pPr>
        <w:spacing w:line="360" w:lineRule="auto"/>
        <w:rPr>
          <w:rFonts w:ascii="Times New Roman" w:hAnsi="Times New Roman" w:cs="Times New Roman"/>
          <w:sz w:val="24"/>
          <w:szCs w:val="24"/>
        </w:rPr>
      </w:pPr>
    </w:p>
    <w:p w:rsidR="00B34C7C" w:rsidRPr="00F97688" w:rsidRDefault="00B34C7C" w:rsidP="002C6377">
      <w:pPr>
        <w:spacing w:line="360" w:lineRule="auto"/>
        <w:jc w:val="center"/>
        <w:rPr>
          <w:rFonts w:ascii="Times New Roman" w:hAnsi="Times New Roman" w:cs="Times New Roman"/>
          <w:i/>
          <w:sz w:val="24"/>
          <w:szCs w:val="24"/>
        </w:rPr>
      </w:pPr>
      <w:r w:rsidRPr="00F97688">
        <w:rPr>
          <w:rFonts w:ascii="Times New Roman" w:hAnsi="Times New Roman" w:cs="Times New Roman"/>
          <w:i/>
          <w:sz w:val="24"/>
          <w:szCs w:val="24"/>
        </w:rPr>
        <w:t>The views expressed in this testimony are those of the author alone and do not necessarily represent those of the American Enterprise Institute.</w:t>
      </w:r>
    </w:p>
    <w:p w:rsidR="00802A51" w:rsidRPr="00901E26" w:rsidRDefault="00802A51" w:rsidP="00901E26">
      <w:pPr>
        <w:spacing w:line="360" w:lineRule="auto"/>
        <w:jc w:val="center"/>
        <w:rPr>
          <w:rFonts w:ascii="Times New Roman" w:hAnsi="Times New Roman" w:cs="Times New Roman"/>
          <w:sz w:val="24"/>
          <w:szCs w:val="24"/>
        </w:rPr>
      </w:pPr>
    </w:p>
    <w:p w:rsidR="00802A51" w:rsidRPr="00901E26" w:rsidRDefault="00802A51" w:rsidP="00901E26">
      <w:pPr>
        <w:pStyle w:val="ListParagraph"/>
        <w:numPr>
          <w:ilvl w:val="0"/>
          <w:numId w:val="1"/>
        </w:num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lastRenderedPageBreak/>
        <w:t>Introduction</w:t>
      </w:r>
    </w:p>
    <w:p w:rsidR="00A6256F" w:rsidRDefault="00F52679"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Simply defined, income inequality is the gap between the incomes or earnings of individuals at different levels</w:t>
      </w:r>
      <w:r w:rsidR="009077C4" w:rsidRPr="00901E26">
        <w:rPr>
          <w:rFonts w:ascii="Times New Roman" w:hAnsi="Times New Roman" w:cs="Times New Roman"/>
          <w:sz w:val="24"/>
          <w:szCs w:val="24"/>
        </w:rPr>
        <w:t xml:space="preserve"> of the income distribution.</w:t>
      </w:r>
      <w:r w:rsidR="000B26AE" w:rsidRPr="00901E26">
        <w:rPr>
          <w:rFonts w:ascii="Times New Roman" w:hAnsi="Times New Roman" w:cs="Times New Roman"/>
          <w:sz w:val="24"/>
          <w:szCs w:val="24"/>
        </w:rPr>
        <w:t xml:space="preserve"> A typical way to measure income inequality is to first define how we measure income for a particular household, and then divide households into equal sized groups to compare households at the top of the distribution with households at the bottom or middle of the distribution. </w:t>
      </w:r>
      <w:r w:rsidR="00D60812" w:rsidRPr="00901E26">
        <w:rPr>
          <w:rFonts w:ascii="Times New Roman" w:hAnsi="Times New Roman" w:cs="Times New Roman"/>
          <w:sz w:val="24"/>
          <w:szCs w:val="24"/>
        </w:rPr>
        <w:t>Several reports and papers in recent times have argued that there has been an increase in income inequality over the last two to three decades</w:t>
      </w:r>
      <w:r w:rsidR="00A6256F">
        <w:rPr>
          <w:rFonts w:ascii="Times New Roman" w:hAnsi="Times New Roman" w:cs="Times New Roman"/>
          <w:sz w:val="24"/>
          <w:szCs w:val="24"/>
        </w:rPr>
        <w:t>, while others counter that inequality is in fact narrowing by some measures</w:t>
      </w:r>
      <w:r w:rsidR="00D60812" w:rsidRPr="00901E26">
        <w:rPr>
          <w:rFonts w:ascii="Times New Roman" w:hAnsi="Times New Roman" w:cs="Times New Roman"/>
          <w:sz w:val="24"/>
          <w:szCs w:val="24"/>
        </w:rPr>
        <w:t>.</w:t>
      </w:r>
      <w:r w:rsidR="00A6256F">
        <w:rPr>
          <w:rFonts w:ascii="Times New Roman" w:hAnsi="Times New Roman" w:cs="Times New Roman"/>
          <w:sz w:val="24"/>
          <w:szCs w:val="24"/>
        </w:rPr>
        <w:t xml:space="preserve"> What is often lost in this back and forth is the focus on the poor, because a change in the income distribution across all households says little about how people are faring in absolute terms at the bottom of the distribution.</w:t>
      </w:r>
    </w:p>
    <w:p w:rsidR="008B620E" w:rsidRPr="00901E26" w:rsidRDefault="00D60812"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 </w:t>
      </w:r>
      <w:r w:rsidR="00B25B0B" w:rsidRPr="00901E26">
        <w:rPr>
          <w:rFonts w:ascii="Times New Roman" w:hAnsi="Times New Roman" w:cs="Times New Roman"/>
          <w:sz w:val="24"/>
          <w:szCs w:val="24"/>
        </w:rPr>
        <w:t xml:space="preserve">The first point made by </w:t>
      </w:r>
      <w:r w:rsidRPr="00901E26">
        <w:rPr>
          <w:rFonts w:ascii="Times New Roman" w:hAnsi="Times New Roman" w:cs="Times New Roman"/>
          <w:sz w:val="24"/>
          <w:szCs w:val="24"/>
        </w:rPr>
        <w:t>this testimony</w:t>
      </w:r>
      <w:r w:rsidR="008B49BC" w:rsidRPr="00901E26">
        <w:rPr>
          <w:rFonts w:ascii="Times New Roman" w:hAnsi="Times New Roman" w:cs="Times New Roman"/>
          <w:sz w:val="24"/>
          <w:szCs w:val="24"/>
        </w:rPr>
        <w:t xml:space="preserve"> is that the issue of income inequality is often complicated by the fact that different studies often provide vastly differing results on the magnitude of the problem </w:t>
      </w:r>
      <w:r w:rsidRPr="00901E26">
        <w:rPr>
          <w:rFonts w:ascii="Times New Roman" w:hAnsi="Times New Roman" w:cs="Times New Roman"/>
          <w:sz w:val="24"/>
          <w:szCs w:val="24"/>
        </w:rPr>
        <w:t xml:space="preserve">since income is not consistently measured across </w:t>
      </w:r>
      <w:r w:rsidR="008B49BC" w:rsidRPr="00901E26">
        <w:rPr>
          <w:rFonts w:ascii="Times New Roman" w:hAnsi="Times New Roman" w:cs="Times New Roman"/>
          <w:sz w:val="24"/>
          <w:szCs w:val="24"/>
        </w:rPr>
        <w:t>these</w:t>
      </w:r>
      <w:r w:rsidRPr="00901E26">
        <w:rPr>
          <w:rFonts w:ascii="Times New Roman" w:hAnsi="Times New Roman" w:cs="Times New Roman"/>
          <w:sz w:val="24"/>
          <w:szCs w:val="24"/>
        </w:rPr>
        <w:t xml:space="preserve"> studies. Second, </w:t>
      </w:r>
      <w:r w:rsidR="008B49BC" w:rsidRPr="00901E26">
        <w:rPr>
          <w:rFonts w:ascii="Times New Roman" w:hAnsi="Times New Roman" w:cs="Times New Roman"/>
          <w:sz w:val="24"/>
          <w:szCs w:val="24"/>
        </w:rPr>
        <w:t xml:space="preserve">the testimony questions whether </w:t>
      </w:r>
      <w:r w:rsidRPr="00901E26">
        <w:rPr>
          <w:rFonts w:ascii="Times New Roman" w:hAnsi="Times New Roman" w:cs="Times New Roman"/>
          <w:sz w:val="24"/>
          <w:szCs w:val="24"/>
        </w:rPr>
        <w:t xml:space="preserve">income </w:t>
      </w:r>
      <w:r w:rsidR="008B49BC" w:rsidRPr="00901E26">
        <w:rPr>
          <w:rFonts w:ascii="Times New Roman" w:hAnsi="Times New Roman" w:cs="Times New Roman"/>
          <w:sz w:val="24"/>
          <w:szCs w:val="24"/>
        </w:rPr>
        <w:t xml:space="preserve">is in fact the best way to measure increases in inequality. Most economists would agree that consumption is a better measure than income </w:t>
      </w:r>
      <w:r w:rsidRPr="00901E26">
        <w:rPr>
          <w:rFonts w:ascii="Times New Roman" w:hAnsi="Times New Roman" w:cs="Times New Roman"/>
          <w:sz w:val="24"/>
          <w:szCs w:val="24"/>
        </w:rPr>
        <w:t>of house</w:t>
      </w:r>
      <w:r w:rsidR="00725D64" w:rsidRPr="00901E26">
        <w:rPr>
          <w:rFonts w:ascii="Times New Roman" w:hAnsi="Times New Roman" w:cs="Times New Roman"/>
          <w:sz w:val="24"/>
          <w:szCs w:val="24"/>
        </w:rPr>
        <w:t xml:space="preserve">hold welfare since individuals are better able to smooth consumption over their lifetimes than incomes. </w:t>
      </w:r>
      <w:r w:rsidR="001708BD" w:rsidRPr="00901E26">
        <w:rPr>
          <w:rFonts w:ascii="Times New Roman" w:hAnsi="Times New Roman" w:cs="Times New Roman"/>
          <w:sz w:val="24"/>
          <w:szCs w:val="24"/>
        </w:rPr>
        <w:t xml:space="preserve">This happens because while incomes may be low in the extremes of the age distribution and high in the prime working years, individuals </w:t>
      </w:r>
      <w:r w:rsidR="008B49BC" w:rsidRPr="00901E26">
        <w:rPr>
          <w:rFonts w:ascii="Times New Roman" w:hAnsi="Times New Roman" w:cs="Times New Roman"/>
          <w:sz w:val="24"/>
          <w:szCs w:val="24"/>
        </w:rPr>
        <w:t>can</w:t>
      </w:r>
      <w:r w:rsidR="001708BD" w:rsidRPr="00901E26">
        <w:rPr>
          <w:rFonts w:ascii="Times New Roman" w:hAnsi="Times New Roman" w:cs="Times New Roman"/>
          <w:sz w:val="24"/>
          <w:szCs w:val="24"/>
        </w:rPr>
        <w:t xml:space="preserve"> smooth consumption by borrowing in the low-income years and saving in the high-income years. In addition, many redistributive policies support consumption for low-income households and provide transfer payments to them. As a result, consumption is both a better predictor of lifetime or permanent incomes </w:t>
      </w:r>
      <w:r w:rsidR="001708BD" w:rsidRPr="00901E26">
        <w:rPr>
          <w:rFonts w:ascii="Times New Roman" w:hAnsi="Times New Roman" w:cs="Times New Roman"/>
          <w:i/>
          <w:sz w:val="24"/>
          <w:szCs w:val="24"/>
        </w:rPr>
        <w:t>and</w:t>
      </w:r>
      <w:r w:rsidR="001708BD" w:rsidRPr="00901E26">
        <w:rPr>
          <w:rFonts w:ascii="Times New Roman" w:hAnsi="Times New Roman" w:cs="Times New Roman"/>
          <w:sz w:val="24"/>
          <w:szCs w:val="24"/>
        </w:rPr>
        <w:t xml:space="preserve"> reflects the impact of government transfer programs on household welfare. </w:t>
      </w:r>
    </w:p>
    <w:p w:rsidR="008E6774" w:rsidRPr="00901E26" w:rsidRDefault="00470866"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While one can argue endlessly about the exact magnitude of the problem, the</w:t>
      </w:r>
      <w:r w:rsidR="00C404BE" w:rsidRPr="00901E26">
        <w:rPr>
          <w:rFonts w:ascii="Times New Roman" w:hAnsi="Times New Roman" w:cs="Times New Roman"/>
          <w:sz w:val="24"/>
          <w:szCs w:val="24"/>
        </w:rPr>
        <w:t xml:space="preserve"> real issue is not whether the</w:t>
      </w:r>
      <w:r w:rsidR="00B871B3" w:rsidRPr="00901E26">
        <w:rPr>
          <w:rFonts w:ascii="Times New Roman" w:hAnsi="Times New Roman" w:cs="Times New Roman"/>
          <w:sz w:val="24"/>
          <w:szCs w:val="24"/>
        </w:rPr>
        <w:t xml:space="preserve"> top of the income dist</w:t>
      </w:r>
      <w:r w:rsidR="00C30DD4">
        <w:rPr>
          <w:rFonts w:ascii="Times New Roman" w:hAnsi="Times New Roman" w:cs="Times New Roman"/>
          <w:sz w:val="24"/>
          <w:szCs w:val="24"/>
        </w:rPr>
        <w:t>ribution has incomes that are ten</w:t>
      </w:r>
      <w:r w:rsidR="00B871B3" w:rsidRPr="00901E26">
        <w:rPr>
          <w:rFonts w:ascii="Times New Roman" w:hAnsi="Times New Roman" w:cs="Times New Roman"/>
          <w:sz w:val="24"/>
          <w:szCs w:val="24"/>
        </w:rPr>
        <w:t xml:space="preserve"> times higher than the bottom</w:t>
      </w:r>
      <w:r w:rsidR="00627EAE">
        <w:rPr>
          <w:rFonts w:ascii="Times New Roman" w:hAnsi="Times New Roman" w:cs="Times New Roman"/>
          <w:sz w:val="24"/>
          <w:szCs w:val="24"/>
        </w:rPr>
        <w:t>,</w:t>
      </w:r>
      <w:r w:rsidR="00627EAE" w:rsidRPr="00901E26">
        <w:rPr>
          <w:rFonts w:ascii="Times New Roman" w:hAnsi="Times New Roman" w:cs="Times New Roman"/>
          <w:sz w:val="24"/>
          <w:szCs w:val="24"/>
        </w:rPr>
        <w:t xml:space="preserve"> </w:t>
      </w:r>
      <w:r w:rsidR="00C404BE" w:rsidRPr="00901E26">
        <w:rPr>
          <w:rFonts w:ascii="Times New Roman" w:hAnsi="Times New Roman" w:cs="Times New Roman"/>
          <w:sz w:val="24"/>
          <w:szCs w:val="24"/>
        </w:rPr>
        <w:t>but whether low and middle income people in America are enjoying a decent standard of living. The unfortunate</w:t>
      </w:r>
      <w:r w:rsidR="008858EE">
        <w:rPr>
          <w:rFonts w:ascii="Times New Roman" w:hAnsi="Times New Roman" w:cs="Times New Roman"/>
          <w:sz w:val="24"/>
          <w:szCs w:val="24"/>
        </w:rPr>
        <w:t xml:space="preserve"> reality is that million</w:t>
      </w:r>
      <w:r w:rsidRPr="00901E26">
        <w:rPr>
          <w:rFonts w:ascii="Times New Roman" w:hAnsi="Times New Roman" w:cs="Times New Roman"/>
          <w:sz w:val="24"/>
          <w:szCs w:val="24"/>
        </w:rPr>
        <w:t xml:space="preserve">s of people in America are living in poverty and facing the very harsh consequences of the worst recession in recent history. </w:t>
      </w:r>
      <w:r w:rsidR="00B871B3" w:rsidRPr="00901E26">
        <w:rPr>
          <w:rFonts w:ascii="Times New Roman" w:hAnsi="Times New Roman" w:cs="Times New Roman"/>
          <w:sz w:val="24"/>
          <w:szCs w:val="24"/>
        </w:rPr>
        <w:t>As per the latest report from the Ce</w:t>
      </w:r>
      <w:r w:rsidR="00021997" w:rsidRPr="00901E26">
        <w:rPr>
          <w:rFonts w:ascii="Times New Roman" w:hAnsi="Times New Roman" w:cs="Times New Roman"/>
          <w:sz w:val="24"/>
          <w:szCs w:val="24"/>
        </w:rPr>
        <w:t>nsus Bureau, 15 to 16 percent of the population can be defined as living in poverty in 2012. That translates to more than 47 million people.</w:t>
      </w:r>
      <w:r w:rsidR="00021997" w:rsidRPr="00901E26">
        <w:rPr>
          <w:rStyle w:val="FootnoteReference"/>
          <w:rFonts w:ascii="Times New Roman" w:hAnsi="Times New Roman" w:cs="Times New Roman"/>
          <w:sz w:val="24"/>
          <w:szCs w:val="24"/>
        </w:rPr>
        <w:footnoteReference w:id="1"/>
      </w:r>
      <w:r w:rsidR="00021997" w:rsidRPr="00901E26">
        <w:rPr>
          <w:rFonts w:ascii="Times New Roman" w:hAnsi="Times New Roman" w:cs="Times New Roman"/>
          <w:sz w:val="24"/>
          <w:szCs w:val="24"/>
        </w:rPr>
        <w:t xml:space="preserve"> </w:t>
      </w:r>
      <w:r w:rsidR="007E119A" w:rsidRPr="00901E26">
        <w:rPr>
          <w:rFonts w:ascii="Times New Roman" w:hAnsi="Times New Roman" w:cs="Times New Roman"/>
          <w:sz w:val="24"/>
          <w:szCs w:val="24"/>
        </w:rPr>
        <w:t xml:space="preserve">We are now in the fifth year of an economic </w:t>
      </w:r>
      <w:r w:rsidR="007E119A" w:rsidRPr="00901E26">
        <w:rPr>
          <w:rFonts w:ascii="Times New Roman" w:hAnsi="Times New Roman" w:cs="Times New Roman"/>
          <w:sz w:val="24"/>
          <w:szCs w:val="24"/>
        </w:rPr>
        <w:lastRenderedPageBreak/>
        <w:t xml:space="preserve">recovery that does not seem like a recovery to most people in the labor market. </w:t>
      </w:r>
      <w:r w:rsidRPr="00901E26">
        <w:rPr>
          <w:rFonts w:ascii="Times New Roman" w:hAnsi="Times New Roman" w:cs="Times New Roman"/>
          <w:sz w:val="24"/>
          <w:szCs w:val="24"/>
        </w:rPr>
        <w:t>There are 10.4</w:t>
      </w:r>
      <w:r w:rsidR="007E119A" w:rsidRPr="00901E26">
        <w:rPr>
          <w:rFonts w:ascii="Times New Roman" w:hAnsi="Times New Roman" w:cs="Times New Roman"/>
          <w:sz w:val="24"/>
          <w:szCs w:val="24"/>
        </w:rPr>
        <w:t xml:space="preserve"> million unemployed</w:t>
      </w:r>
      <w:r w:rsidRPr="00901E26">
        <w:rPr>
          <w:rFonts w:ascii="Times New Roman" w:hAnsi="Times New Roman" w:cs="Times New Roman"/>
          <w:sz w:val="24"/>
          <w:szCs w:val="24"/>
        </w:rPr>
        <w:t xml:space="preserve"> workers</w:t>
      </w:r>
      <w:r w:rsidR="00543E42" w:rsidRPr="00901E26">
        <w:rPr>
          <w:rFonts w:ascii="Times New Roman" w:hAnsi="Times New Roman" w:cs="Times New Roman"/>
          <w:sz w:val="24"/>
          <w:szCs w:val="24"/>
        </w:rPr>
        <w:t>, of which 3.9</w:t>
      </w:r>
      <w:r w:rsidR="007E119A" w:rsidRPr="00901E26">
        <w:rPr>
          <w:rFonts w:ascii="Times New Roman" w:hAnsi="Times New Roman" w:cs="Times New Roman"/>
          <w:sz w:val="24"/>
          <w:szCs w:val="24"/>
        </w:rPr>
        <w:t xml:space="preserve"> million have </w:t>
      </w:r>
      <w:r w:rsidR="00543E42" w:rsidRPr="00901E26">
        <w:rPr>
          <w:rFonts w:ascii="Times New Roman" w:hAnsi="Times New Roman" w:cs="Times New Roman"/>
          <w:sz w:val="24"/>
          <w:szCs w:val="24"/>
        </w:rPr>
        <w:t>been jobless</w:t>
      </w:r>
      <w:r w:rsidR="007E119A" w:rsidRPr="00901E26">
        <w:rPr>
          <w:rFonts w:ascii="Times New Roman" w:hAnsi="Times New Roman" w:cs="Times New Roman"/>
          <w:sz w:val="24"/>
          <w:szCs w:val="24"/>
        </w:rPr>
        <w:t xml:space="preserve"> for longer than 27 weeks.</w:t>
      </w:r>
      <w:r w:rsidR="0008466D" w:rsidRPr="00901E26">
        <w:rPr>
          <w:rStyle w:val="FootnoteReference"/>
          <w:rFonts w:ascii="Times New Roman" w:hAnsi="Times New Roman" w:cs="Times New Roman"/>
          <w:sz w:val="24"/>
          <w:szCs w:val="24"/>
        </w:rPr>
        <w:footnoteReference w:id="2"/>
      </w:r>
      <w:r w:rsidR="007E119A" w:rsidRPr="00901E26">
        <w:rPr>
          <w:rFonts w:ascii="Times New Roman" w:hAnsi="Times New Roman" w:cs="Times New Roman"/>
          <w:sz w:val="24"/>
          <w:szCs w:val="24"/>
        </w:rPr>
        <w:t xml:space="preserve"> </w:t>
      </w:r>
      <w:r w:rsidR="00543E42" w:rsidRPr="00901E26">
        <w:rPr>
          <w:rFonts w:ascii="Times New Roman" w:hAnsi="Times New Roman" w:cs="Times New Roman"/>
          <w:sz w:val="24"/>
          <w:szCs w:val="24"/>
        </w:rPr>
        <w:t>In addition</w:t>
      </w:r>
      <w:r w:rsidR="007E119A" w:rsidRPr="00901E26">
        <w:rPr>
          <w:rFonts w:ascii="Times New Roman" w:hAnsi="Times New Roman" w:cs="Times New Roman"/>
          <w:sz w:val="24"/>
          <w:szCs w:val="24"/>
        </w:rPr>
        <w:t>, there are another 10 million who are either in involuntary part-time jobs, or discouraged workers.</w:t>
      </w:r>
      <w:r w:rsidR="008B7135" w:rsidRPr="00901E26">
        <w:rPr>
          <w:rFonts w:ascii="Times New Roman" w:hAnsi="Times New Roman" w:cs="Times New Roman"/>
          <w:sz w:val="24"/>
          <w:szCs w:val="24"/>
        </w:rPr>
        <w:t xml:space="preserve"> </w:t>
      </w:r>
      <w:r w:rsidR="0008466D" w:rsidRPr="00901E26">
        <w:rPr>
          <w:rFonts w:ascii="Times New Roman" w:hAnsi="Times New Roman" w:cs="Times New Roman"/>
          <w:sz w:val="24"/>
          <w:szCs w:val="24"/>
        </w:rPr>
        <w:t>Further</w:t>
      </w:r>
      <w:r w:rsidR="008B7135" w:rsidRPr="00901E26">
        <w:rPr>
          <w:rFonts w:ascii="Times New Roman" w:hAnsi="Times New Roman" w:cs="Times New Roman"/>
          <w:sz w:val="24"/>
          <w:szCs w:val="24"/>
        </w:rPr>
        <w:t xml:space="preserve">, youth </w:t>
      </w:r>
      <w:r w:rsidR="00543E42" w:rsidRPr="00901E26">
        <w:rPr>
          <w:rFonts w:ascii="Times New Roman" w:hAnsi="Times New Roman" w:cs="Times New Roman"/>
          <w:sz w:val="24"/>
          <w:szCs w:val="24"/>
        </w:rPr>
        <w:t xml:space="preserve">and teenage </w:t>
      </w:r>
      <w:r w:rsidR="008B7135" w:rsidRPr="00901E26">
        <w:rPr>
          <w:rFonts w:ascii="Times New Roman" w:hAnsi="Times New Roman" w:cs="Times New Roman"/>
          <w:sz w:val="24"/>
          <w:szCs w:val="24"/>
        </w:rPr>
        <w:t>unemployment rates are a</w:t>
      </w:r>
      <w:r w:rsidR="00543E42" w:rsidRPr="00901E26">
        <w:rPr>
          <w:rFonts w:ascii="Times New Roman" w:hAnsi="Times New Roman" w:cs="Times New Roman"/>
          <w:sz w:val="24"/>
          <w:szCs w:val="24"/>
        </w:rPr>
        <w:t>bove</w:t>
      </w:r>
      <w:r w:rsidR="008B7135" w:rsidRPr="00901E26">
        <w:rPr>
          <w:rFonts w:ascii="Times New Roman" w:hAnsi="Times New Roman" w:cs="Times New Roman"/>
          <w:sz w:val="24"/>
          <w:szCs w:val="24"/>
        </w:rPr>
        <w:t xml:space="preserve"> 16 percent.</w:t>
      </w:r>
      <w:r w:rsidR="007E119A" w:rsidRPr="00901E26">
        <w:rPr>
          <w:rFonts w:ascii="Times New Roman" w:hAnsi="Times New Roman" w:cs="Times New Roman"/>
          <w:sz w:val="24"/>
          <w:szCs w:val="24"/>
        </w:rPr>
        <w:t xml:space="preserve"> </w:t>
      </w:r>
      <w:r w:rsidR="00AB256E" w:rsidRPr="00901E26">
        <w:rPr>
          <w:rFonts w:ascii="Times New Roman" w:hAnsi="Times New Roman" w:cs="Times New Roman"/>
          <w:sz w:val="24"/>
          <w:szCs w:val="24"/>
        </w:rPr>
        <w:t xml:space="preserve">Therefore, the focus on income inequality is somewhat misplaced. Fundamentally, this is a problem of poverty. </w:t>
      </w:r>
    </w:p>
    <w:p w:rsidR="001708BD" w:rsidRPr="00901E26" w:rsidRDefault="00A424B3"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When high rates of poverty exist in an economy with low economic mobility, the problem is exacerbated. The purpose of this testimony is to summarize some ideas that might help policymakers address the current economic crisis facing families and provide them opportunities to be productive participants in the labor market and rebuild their lives. </w:t>
      </w:r>
      <w:r w:rsidR="0094116E" w:rsidRPr="00901E26">
        <w:rPr>
          <w:rFonts w:ascii="Times New Roman" w:hAnsi="Times New Roman" w:cs="Times New Roman"/>
          <w:sz w:val="24"/>
          <w:szCs w:val="24"/>
        </w:rPr>
        <w:t>This testimony however argues that while trying to equalize outcomes for families</w:t>
      </w:r>
      <w:r w:rsidR="00AB256E" w:rsidRPr="00901E26">
        <w:rPr>
          <w:rFonts w:ascii="Times New Roman" w:hAnsi="Times New Roman" w:cs="Times New Roman"/>
          <w:sz w:val="24"/>
          <w:szCs w:val="24"/>
        </w:rPr>
        <w:t xml:space="preserve"> by attempting to equalize incomes</w:t>
      </w:r>
      <w:r w:rsidR="0094116E" w:rsidRPr="00901E26">
        <w:rPr>
          <w:rFonts w:ascii="Times New Roman" w:hAnsi="Times New Roman" w:cs="Times New Roman"/>
          <w:sz w:val="24"/>
          <w:szCs w:val="24"/>
        </w:rPr>
        <w:t xml:space="preserve"> may be an impossible goal, equalizing </w:t>
      </w:r>
      <w:r w:rsidR="00FA1824" w:rsidRPr="00901E26">
        <w:rPr>
          <w:rFonts w:ascii="Times New Roman" w:hAnsi="Times New Roman" w:cs="Times New Roman"/>
          <w:sz w:val="24"/>
          <w:szCs w:val="24"/>
        </w:rPr>
        <w:t xml:space="preserve">opportunities </w:t>
      </w:r>
      <w:r w:rsidR="00B12AC2" w:rsidRPr="00901E26">
        <w:rPr>
          <w:rFonts w:ascii="Times New Roman" w:hAnsi="Times New Roman" w:cs="Times New Roman"/>
          <w:sz w:val="24"/>
          <w:szCs w:val="24"/>
        </w:rPr>
        <w:t>for individuals by providing</w:t>
      </w:r>
      <w:r w:rsidR="00FA1824" w:rsidRPr="00901E26">
        <w:rPr>
          <w:rFonts w:ascii="Times New Roman" w:hAnsi="Times New Roman" w:cs="Times New Roman"/>
          <w:sz w:val="24"/>
          <w:szCs w:val="24"/>
        </w:rPr>
        <w:t xml:space="preserve"> access to good schools</w:t>
      </w:r>
      <w:r w:rsidR="00B12AC2" w:rsidRPr="00901E26">
        <w:rPr>
          <w:rFonts w:ascii="Times New Roman" w:hAnsi="Times New Roman" w:cs="Times New Roman"/>
          <w:sz w:val="24"/>
          <w:szCs w:val="24"/>
        </w:rPr>
        <w:t xml:space="preserve"> and</w:t>
      </w:r>
      <w:r w:rsidR="00FA1824" w:rsidRPr="00901E26">
        <w:rPr>
          <w:rFonts w:ascii="Times New Roman" w:hAnsi="Times New Roman" w:cs="Times New Roman"/>
          <w:sz w:val="24"/>
          <w:szCs w:val="24"/>
        </w:rPr>
        <w:t xml:space="preserve"> good jobs may be more attainable</w:t>
      </w:r>
      <w:r w:rsidR="00AB256E" w:rsidRPr="00901E26">
        <w:rPr>
          <w:rFonts w:ascii="Times New Roman" w:hAnsi="Times New Roman" w:cs="Times New Roman"/>
          <w:sz w:val="24"/>
          <w:szCs w:val="24"/>
        </w:rPr>
        <w:t xml:space="preserve"> and realistic</w:t>
      </w:r>
      <w:r w:rsidR="00FA1824" w:rsidRPr="00901E26">
        <w:rPr>
          <w:rFonts w:ascii="Times New Roman" w:hAnsi="Times New Roman" w:cs="Times New Roman"/>
          <w:sz w:val="24"/>
          <w:szCs w:val="24"/>
        </w:rPr>
        <w:t>.</w:t>
      </w:r>
    </w:p>
    <w:p w:rsidR="00FA1824" w:rsidRPr="00901E26" w:rsidRDefault="00FA1824"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In the next section, I describe the studies and data on income inequality trends. In Section III, I focus on consumption inequality. In section IV, I discuss economic mobility issues. Section V</w:t>
      </w:r>
      <w:r w:rsidR="0037530E">
        <w:rPr>
          <w:rFonts w:ascii="Times New Roman" w:hAnsi="Times New Roman" w:cs="Times New Roman"/>
          <w:sz w:val="24"/>
          <w:szCs w:val="24"/>
        </w:rPr>
        <w:t xml:space="preserve"> puts forth some policy suggestions and Section VI</w:t>
      </w:r>
      <w:r w:rsidRPr="00901E26">
        <w:rPr>
          <w:rFonts w:ascii="Times New Roman" w:hAnsi="Times New Roman" w:cs="Times New Roman"/>
          <w:sz w:val="24"/>
          <w:szCs w:val="24"/>
        </w:rPr>
        <w:t xml:space="preserve"> concludes.</w:t>
      </w:r>
    </w:p>
    <w:p w:rsidR="008B620E" w:rsidRPr="00901E26" w:rsidRDefault="008B620E" w:rsidP="00792F39">
      <w:pPr>
        <w:spacing w:after="0" w:line="360" w:lineRule="auto"/>
        <w:ind w:firstLine="360"/>
        <w:jc w:val="both"/>
        <w:rPr>
          <w:rFonts w:ascii="Times New Roman" w:hAnsi="Times New Roman" w:cs="Times New Roman"/>
          <w:sz w:val="24"/>
          <w:szCs w:val="24"/>
        </w:rPr>
      </w:pPr>
    </w:p>
    <w:p w:rsidR="008B620E" w:rsidRPr="00901E26" w:rsidRDefault="00FA1824" w:rsidP="00901E26">
      <w:pPr>
        <w:pStyle w:val="ListParagraph"/>
        <w:numPr>
          <w:ilvl w:val="0"/>
          <w:numId w:val="1"/>
        </w:numPr>
        <w:spacing w:line="360" w:lineRule="auto"/>
        <w:jc w:val="center"/>
        <w:rPr>
          <w:rFonts w:ascii="Times New Roman" w:hAnsi="Times New Roman" w:cs="Times New Roman"/>
          <w:sz w:val="24"/>
          <w:szCs w:val="24"/>
        </w:rPr>
      </w:pPr>
      <w:r w:rsidRPr="00901E26">
        <w:rPr>
          <w:rFonts w:ascii="Times New Roman" w:hAnsi="Times New Roman" w:cs="Times New Roman"/>
          <w:sz w:val="24"/>
          <w:szCs w:val="24"/>
        </w:rPr>
        <w:t>Income Inequality D</w:t>
      </w:r>
      <w:r w:rsidR="00645F32" w:rsidRPr="00901E26">
        <w:rPr>
          <w:rFonts w:ascii="Times New Roman" w:hAnsi="Times New Roman" w:cs="Times New Roman"/>
          <w:sz w:val="24"/>
          <w:szCs w:val="24"/>
        </w:rPr>
        <w:t>ata</w:t>
      </w:r>
      <w:r w:rsidRPr="00901E26">
        <w:rPr>
          <w:rFonts w:ascii="Times New Roman" w:hAnsi="Times New Roman" w:cs="Times New Roman"/>
          <w:sz w:val="24"/>
          <w:szCs w:val="24"/>
        </w:rPr>
        <w:t xml:space="preserve"> and Research</w:t>
      </w:r>
    </w:p>
    <w:p w:rsidR="00802A51" w:rsidRPr="00901E26" w:rsidRDefault="009077C4"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 In a recent December 2013 report, the Congressional Budget Office </w:t>
      </w:r>
      <w:r w:rsidR="00CE079A" w:rsidRPr="00901E26">
        <w:rPr>
          <w:rFonts w:ascii="Times New Roman" w:hAnsi="Times New Roman" w:cs="Times New Roman"/>
          <w:sz w:val="24"/>
          <w:szCs w:val="24"/>
        </w:rPr>
        <w:t>divided all U.S. households into five groups of equal size</w:t>
      </w:r>
      <w:r w:rsidR="00303DC0" w:rsidRPr="00901E26">
        <w:rPr>
          <w:rFonts w:ascii="Times New Roman" w:hAnsi="Times New Roman" w:cs="Times New Roman"/>
          <w:sz w:val="24"/>
          <w:szCs w:val="24"/>
        </w:rPr>
        <w:t xml:space="preserve"> (quintiles)</w:t>
      </w:r>
      <w:r w:rsidR="00CE079A" w:rsidRPr="00901E26">
        <w:rPr>
          <w:rFonts w:ascii="Times New Roman" w:hAnsi="Times New Roman" w:cs="Times New Roman"/>
          <w:sz w:val="24"/>
          <w:szCs w:val="24"/>
        </w:rPr>
        <w:t>, on the basis of their before-tax income.</w:t>
      </w:r>
      <w:r w:rsidR="00FD6480" w:rsidRPr="00901E26">
        <w:rPr>
          <w:rStyle w:val="FootnoteReference"/>
          <w:rFonts w:ascii="Times New Roman" w:hAnsi="Times New Roman" w:cs="Times New Roman"/>
          <w:sz w:val="24"/>
          <w:szCs w:val="24"/>
        </w:rPr>
        <w:footnoteReference w:id="3"/>
      </w:r>
      <w:r w:rsidR="00CE079A" w:rsidRPr="00901E26">
        <w:rPr>
          <w:rFonts w:ascii="Times New Roman" w:hAnsi="Times New Roman" w:cs="Times New Roman"/>
          <w:sz w:val="24"/>
          <w:szCs w:val="24"/>
        </w:rPr>
        <w:t xml:space="preserve"> The CBO definition of</w:t>
      </w:r>
      <w:r w:rsidR="00303DC0" w:rsidRPr="00901E26">
        <w:rPr>
          <w:rFonts w:ascii="Times New Roman" w:hAnsi="Times New Roman" w:cs="Times New Roman"/>
          <w:sz w:val="24"/>
          <w:szCs w:val="24"/>
        </w:rPr>
        <w:t xml:space="preserve"> before-tax</w:t>
      </w:r>
      <w:r w:rsidR="00CE079A" w:rsidRPr="00901E26">
        <w:rPr>
          <w:rFonts w:ascii="Times New Roman" w:hAnsi="Times New Roman" w:cs="Times New Roman"/>
          <w:sz w:val="24"/>
          <w:szCs w:val="24"/>
        </w:rPr>
        <w:t xml:space="preserve"> income </w:t>
      </w:r>
      <w:r w:rsidR="00303DC0" w:rsidRPr="00901E26">
        <w:rPr>
          <w:rFonts w:ascii="Times New Roman" w:hAnsi="Times New Roman" w:cs="Times New Roman"/>
          <w:sz w:val="24"/>
          <w:szCs w:val="24"/>
        </w:rPr>
        <w:t xml:space="preserve">is composed of labor income, business income, capital gains, capita income (excluding capital gains), </w:t>
      </w:r>
      <w:proofErr w:type="gramStart"/>
      <w:r w:rsidR="00303DC0" w:rsidRPr="00901E26">
        <w:rPr>
          <w:rFonts w:ascii="Times New Roman" w:hAnsi="Times New Roman" w:cs="Times New Roman"/>
          <w:sz w:val="24"/>
          <w:szCs w:val="24"/>
        </w:rPr>
        <w:t>income</w:t>
      </w:r>
      <w:proofErr w:type="gramEnd"/>
      <w:r w:rsidR="00303DC0" w:rsidRPr="00901E26">
        <w:rPr>
          <w:rFonts w:ascii="Times New Roman" w:hAnsi="Times New Roman" w:cs="Times New Roman"/>
          <w:sz w:val="24"/>
          <w:szCs w:val="24"/>
        </w:rPr>
        <w:t xml:space="preserve"> received in retirement for past services and other sources of income. It also </w:t>
      </w:r>
      <w:r w:rsidR="00CE079A" w:rsidRPr="00901E26">
        <w:rPr>
          <w:rFonts w:ascii="Times New Roman" w:hAnsi="Times New Roman" w:cs="Times New Roman"/>
          <w:sz w:val="24"/>
          <w:szCs w:val="24"/>
        </w:rPr>
        <w:t>includes government transfers to these households.</w:t>
      </w:r>
      <w:r w:rsidR="00303DC0" w:rsidRPr="00901E26">
        <w:rPr>
          <w:rFonts w:ascii="Times New Roman" w:hAnsi="Times New Roman" w:cs="Times New Roman"/>
          <w:sz w:val="24"/>
          <w:szCs w:val="24"/>
        </w:rPr>
        <w:t xml:space="preserve"> Government transfers are cash payments and in-kind benefits from social insurance and other government assistance programs. </w:t>
      </w:r>
      <w:r w:rsidR="00CE079A" w:rsidRPr="00901E26">
        <w:rPr>
          <w:rFonts w:ascii="Times New Roman" w:hAnsi="Times New Roman" w:cs="Times New Roman"/>
          <w:sz w:val="24"/>
          <w:szCs w:val="24"/>
        </w:rPr>
        <w:t>As per this report, in 2010, households in the lowest quintile (bottom 20 percent) received 5.1 percent of all before-tax income, or about $24,100 per household. Those in the middle fifth received 14.2 percent or $65,400 per household. Households in the top quintile received 51.9 percent or about $239,100 per household.</w:t>
      </w:r>
      <w:r w:rsidR="00303DC0" w:rsidRPr="00901E26">
        <w:rPr>
          <w:rFonts w:ascii="Times New Roman" w:hAnsi="Times New Roman" w:cs="Times New Roman"/>
          <w:sz w:val="24"/>
          <w:szCs w:val="24"/>
        </w:rPr>
        <w:t xml:space="preserve"> In other words, households in the top income quintile received an income share that was ten times that for the lower income quintiles.</w:t>
      </w:r>
    </w:p>
    <w:p w:rsidR="00303DC0" w:rsidRPr="00901E26" w:rsidRDefault="00303DC0"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The corresponding numbers for after-tax income are 6.2 percent for the bottom quintile</w:t>
      </w:r>
      <w:r w:rsidR="00A561AC" w:rsidRPr="00901E26">
        <w:rPr>
          <w:rFonts w:ascii="Times New Roman" w:hAnsi="Times New Roman" w:cs="Times New Roman"/>
          <w:sz w:val="24"/>
          <w:szCs w:val="24"/>
        </w:rPr>
        <w:t>, 15.4 percent for the middle quintile</w:t>
      </w:r>
      <w:r w:rsidRPr="00901E26">
        <w:rPr>
          <w:rFonts w:ascii="Times New Roman" w:hAnsi="Times New Roman" w:cs="Times New Roman"/>
          <w:sz w:val="24"/>
          <w:szCs w:val="24"/>
        </w:rPr>
        <w:t xml:space="preserve"> and </w:t>
      </w:r>
      <w:r w:rsidR="00A561AC" w:rsidRPr="00901E26">
        <w:rPr>
          <w:rFonts w:ascii="Times New Roman" w:hAnsi="Times New Roman" w:cs="Times New Roman"/>
          <w:sz w:val="24"/>
          <w:szCs w:val="24"/>
        </w:rPr>
        <w:t>48.1 percent for the top quintile.</w:t>
      </w:r>
    </w:p>
    <w:p w:rsidR="00A561AC" w:rsidRPr="00901E26" w:rsidRDefault="00A561AC"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It is important to note that both the tax code and the transfer system work towards increasing the share of income earned by the lower income groups. As per the same CBO report, </w:t>
      </w:r>
      <w:r w:rsidR="00F85AE7" w:rsidRPr="00901E26">
        <w:rPr>
          <w:rFonts w:ascii="Times New Roman" w:hAnsi="Times New Roman" w:cs="Times New Roman"/>
          <w:sz w:val="24"/>
          <w:szCs w:val="24"/>
        </w:rPr>
        <w:t xml:space="preserve">households in the lowest quintile received 36.2 percent of the total benefits from Social Security and Medicare (averaging $14,200 per household), households in the middle quintile received 16.7 percent of those benefits and those in the highest quintile received 11.4 percent of the benefits. </w:t>
      </w:r>
      <w:r w:rsidR="00E80136" w:rsidRPr="00901E26">
        <w:rPr>
          <w:rFonts w:ascii="Times New Roman" w:hAnsi="Times New Roman" w:cs="Times New Roman"/>
          <w:sz w:val="24"/>
          <w:szCs w:val="24"/>
        </w:rPr>
        <w:t>Other transfers-including unemployment benefits, payments from Supplemental Nutrition Assistance Programs, and benefits from Medicaid and Children’s Health Insurance Program-go even more disproportionately to households in the lower portion of the income distribution. Households in the bottom quintile received 47 percent of benefits from other transfers, households in the middle quintile received 13.3 percent of those benefits and those in the highest quintile received 6.2 percent.</w:t>
      </w:r>
    </w:p>
    <w:p w:rsidR="009B6F2A" w:rsidRPr="00901E26" w:rsidRDefault="00E80136"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The federal tax system is also progressive. </w:t>
      </w:r>
      <w:r w:rsidR="00B31572" w:rsidRPr="00901E26">
        <w:rPr>
          <w:rFonts w:ascii="Times New Roman" w:hAnsi="Times New Roman" w:cs="Times New Roman"/>
          <w:sz w:val="24"/>
          <w:szCs w:val="24"/>
        </w:rPr>
        <w:t>Households in the top quintile paid 68.8 percent of all federal taxes, households in the middle quintile paid 9.1 percent and those in the bottom quintile paid 0.4 percent of federal taxes.</w:t>
      </w:r>
    </w:p>
    <w:p w:rsidR="009B6F2A" w:rsidRPr="00901E26" w:rsidRDefault="004921FB"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When we consider trends from 1979, households in the bottom quintile experienced an increase of 49 percent in real after</w:t>
      </w:r>
      <w:r w:rsidR="00715752" w:rsidRPr="00901E26">
        <w:rPr>
          <w:rFonts w:ascii="Times New Roman" w:hAnsi="Times New Roman" w:cs="Times New Roman"/>
          <w:sz w:val="24"/>
          <w:szCs w:val="24"/>
        </w:rPr>
        <w:t>-</w:t>
      </w:r>
      <w:r w:rsidRPr="00901E26">
        <w:rPr>
          <w:rFonts w:ascii="Times New Roman" w:hAnsi="Times New Roman" w:cs="Times New Roman"/>
          <w:sz w:val="24"/>
          <w:szCs w:val="24"/>
        </w:rPr>
        <w:t>tax income between 1979 and 2010. After-tax incomes for the middle three quintiles in 2010 averaged 40 percent higher than in 1979. For the 81</w:t>
      </w:r>
      <w:r w:rsidRPr="00901E26">
        <w:rPr>
          <w:rFonts w:ascii="Times New Roman" w:hAnsi="Times New Roman" w:cs="Times New Roman"/>
          <w:sz w:val="24"/>
          <w:szCs w:val="24"/>
          <w:vertAlign w:val="superscript"/>
        </w:rPr>
        <w:t>st</w:t>
      </w:r>
      <w:r w:rsidRPr="00901E26">
        <w:rPr>
          <w:rFonts w:ascii="Times New Roman" w:hAnsi="Times New Roman" w:cs="Times New Roman"/>
          <w:sz w:val="24"/>
          <w:szCs w:val="24"/>
        </w:rPr>
        <w:t xml:space="preserve"> to 99</w:t>
      </w:r>
      <w:r w:rsidRPr="00901E26">
        <w:rPr>
          <w:rFonts w:ascii="Times New Roman" w:hAnsi="Times New Roman" w:cs="Times New Roman"/>
          <w:sz w:val="24"/>
          <w:szCs w:val="24"/>
          <w:vertAlign w:val="superscript"/>
        </w:rPr>
        <w:t>th</w:t>
      </w:r>
      <w:r w:rsidRPr="00901E26">
        <w:rPr>
          <w:rFonts w:ascii="Times New Roman" w:hAnsi="Times New Roman" w:cs="Times New Roman"/>
          <w:sz w:val="24"/>
          <w:szCs w:val="24"/>
        </w:rPr>
        <w:t xml:space="preserve"> percentile, the growth was 65 percent and for the top 1 percent, household income grew 201 percent above 1979 levels.</w:t>
      </w:r>
    </w:p>
    <w:p w:rsidR="001028C4" w:rsidRPr="00901E26" w:rsidRDefault="00A62777"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While the CBO data are reliable and unbiased, one question that plagues the research on income inequality is the lack of a common definition of income. A recent co-authored paper by economists Thomas </w:t>
      </w:r>
      <w:proofErr w:type="spellStart"/>
      <w:r w:rsidRPr="00901E26">
        <w:rPr>
          <w:rFonts w:ascii="Times New Roman" w:hAnsi="Times New Roman" w:cs="Times New Roman"/>
          <w:sz w:val="24"/>
          <w:szCs w:val="24"/>
        </w:rPr>
        <w:t>Piketty</w:t>
      </w:r>
      <w:proofErr w:type="spellEnd"/>
      <w:r w:rsidRPr="00901E26">
        <w:rPr>
          <w:rFonts w:ascii="Times New Roman" w:hAnsi="Times New Roman" w:cs="Times New Roman"/>
          <w:sz w:val="24"/>
          <w:szCs w:val="24"/>
        </w:rPr>
        <w:t xml:space="preserve"> and Emmanuel </w:t>
      </w:r>
      <w:proofErr w:type="spellStart"/>
      <w:r w:rsidRPr="00901E26">
        <w:rPr>
          <w:rFonts w:ascii="Times New Roman" w:hAnsi="Times New Roman" w:cs="Times New Roman"/>
          <w:sz w:val="24"/>
          <w:szCs w:val="24"/>
        </w:rPr>
        <w:t>Saez</w:t>
      </w:r>
      <w:proofErr w:type="spellEnd"/>
      <w:r w:rsidR="009B0AF2" w:rsidRPr="00901E26">
        <w:rPr>
          <w:rFonts w:ascii="Times New Roman" w:hAnsi="Times New Roman" w:cs="Times New Roman"/>
          <w:sz w:val="24"/>
          <w:szCs w:val="24"/>
        </w:rPr>
        <w:t xml:space="preserve"> (2013)</w:t>
      </w:r>
      <w:r w:rsidRPr="00901E26">
        <w:rPr>
          <w:rFonts w:ascii="Times New Roman" w:hAnsi="Times New Roman" w:cs="Times New Roman"/>
          <w:sz w:val="24"/>
          <w:szCs w:val="24"/>
        </w:rPr>
        <w:t xml:space="preserve"> finds trends similar to the CBO</w:t>
      </w:r>
      <w:r w:rsidR="00EC75B6" w:rsidRPr="00901E26">
        <w:rPr>
          <w:rFonts w:ascii="Times New Roman" w:hAnsi="Times New Roman" w:cs="Times New Roman"/>
          <w:sz w:val="24"/>
          <w:szCs w:val="24"/>
        </w:rPr>
        <w:t>.</w:t>
      </w:r>
      <w:r w:rsidR="009B0AF2" w:rsidRPr="00901E26">
        <w:rPr>
          <w:rStyle w:val="FootnoteReference"/>
          <w:rFonts w:ascii="Times New Roman" w:hAnsi="Times New Roman" w:cs="Times New Roman"/>
          <w:sz w:val="24"/>
          <w:szCs w:val="24"/>
        </w:rPr>
        <w:footnoteReference w:id="4"/>
      </w:r>
      <w:r w:rsidRPr="00901E26">
        <w:rPr>
          <w:rFonts w:ascii="Times New Roman" w:hAnsi="Times New Roman" w:cs="Times New Roman"/>
          <w:sz w:val="24"/>
          <w:szCs w:val="24"/>
        </w:rPr>
        <w:t xml:space="preserve"> They claim that the share of income going to the top 1 percent of the population has more than doubled from 9 percent in 1976 to 20 percent in 2011. In other words, the top tail of the distribution now enjoys an ever-larger slice of the pie than it has historically done so. </w:t>
      </w:r>
      <w:proofErr w:type="spellStart"/>
      <w:r w:rsidRPr="00901E26">
        <w:rPr>
          <w:rFonts w:ascii="Times New Roman" w:hAnsi="Times New Roman" w:cs="Times New Roman"/>
          <w:sz w:val="24"/>
          <w:szCs w:val="24"/>
        </w:rPr>
        <w:t>Piketty</w:t>
      </w:r>
      <w:proofErr w:type="spellEnd"/>
      <w:r w:rsidRPr="00901E26">
        <w:rPr>
          <w:rFonts w:ascii="Times New Roman" w:hAnsi="Times New Roman" w:cs="Times New Roman"/>
          <w:sz w:val="24"/>
          <w:szCs w:val="24"/>
        </w:rPr>
        <w:t xml:space="preserve"> and </w:t>
      </w:r>
      <w:proofErr w:type="spellStart"/>
      <w:r w:rsidRPr="00901E26">
        <w:rPr>
          <w:rFonts w:ascii="Times New Roman" w:hAnsi="Times New Roman" w:cs="Times New Roman"/>
          <w:sz w:val="24"/>
          <w:szCs w:val="24"/>
        </w:rPr>
        <w:t>Saez</w:t>
      </w:r>
      <w:proofErr w:type="spellEnd"/>
      <w:r w:rsidR="001028C4" w:rsidRPr="00901E26">
        <w:rPr>
          <w:rFonts w:ascii="Times New Roman" w:hAnsi="Times New Roman" w:cs="Times New Roman"/>
          <w:sz w:val="24"/>
          <w:szCs w:val="24"/>
        </w:rPr>
        <w:t xml:space="preserve"> (</w:t>
      </w:r>
      <w:r w:rsidR="00F97688">
        <w:rPr>
          <w:rFonts w:ascii="Times New Roman" w:hAnsi="Times New Roman" w:cs="Times New Roman"/>
          <w:sz w:val="24"/>
          <w:szCs w:val="24"/>
        </w:rPr>
        <w:t xml:space="preserve">2012, </w:t>
      </w:r>
      <w:r w:rsidR="001028C4" w:rsidRPr="00901E26">
        <w:rPr>
          <w:rFonts w:ascii="Times New Roman" w:hAnsi="Times New Roman" w:cs="Times New Roman"/>
          <w:sz w:val="24"/>
          <w:szCs w:val="24"/>
        </w:rPr>
        <w:t>2013)</w:t>
      </w:r>
      <w:r w:rsidR="002718BC" w:rsidRPr="002718BC">
        <w:rPr>
          <w:rStyle w:val="FootnoteReference"/>
          <w:rFonts w:ascii="Times New Roman" w:hAnsi="Times New Roman" w:cs="Times New Roman"/>
          <w:sz w:val="24"/>
          <w:szCs w:val="24"/>
        </w:rPr>
        <w:t xml:space="preserve"> </w:t>
      </w:r>
      <w:r w:rsidR="002718BC">
        <w:rPr>
          <w:rStyle w:val="FootnoteReference"/>
          <w:rFonts w:ascii="Times New Roman" w:hAnsi="Times New Roman" w:cs="Times New Roman"/>
          <w:sz w:val="24"/>
          <w:szCs w:val="24"/>
        </w:rPr>
        <w:footnoteReference w:id="5"/>
      </w:r>
      <w:r w:rsidR="002718BC" w:rsidRPr="00901E26">
        <w:rPr>
          <w:rFonts w:ascii="Times New Roman" w:hAnsi="Times New Roman" w:cs="Times New Roman"/>
          <w:sz w:val="24"/>
          <w:szCs w:val="24"/>
        </w:rPr>
        <w:t xml:space="preserve"> </w:t>
      </w:r>
      <w:r w:rsidRPr="00901E26">
        <w:rPr>
          <w:rFonts w:ascii="Times New Roman" w:hAnsi="Times New Roman" w:cs="Times New Roman"/>
          <w:sz w:val="24"/>
          <w:szCs w:val="24"/>
        </w:rPr>
        <w:t xml:space="preserve"> use pre-tax pre-transfer income data from the tax records of filers and include realized capital gains. Thus, they fail to account for </w:t>
      </w:r>
      <w:r w:rsidR="001028C4" w:rsidRPr="00901E26">
        <w:rPr>
          <w:rFonts w:ascii="Times New Roman" w:hAnsi="Times New Roman" w:cs="Times New Roman"/>
          <w:sz w:val="24"/>
          <w:szCs w:val="24"/>
        </w:rPr>
        <w:t xml:space="preserve">transfer </w:t>
      </w:r>
      <w:r w:rsidRPr="00901E26">
        <w:rPr>
          <w:rFonts w:ascii="Times New Roman" w:hAnsi="Times New Roman" w:cs="Times New Roman"/>
          <w:sz w:val="24"/>
          <w:szCs w:val="24"/>
        </w:rPr>
        <w:t xml:space="preserve">payments like Social Security, Medicare, food stamps etc. In addition, it is also worth noting that by focusing on reported taxable incomes, their data are biased by the fact that taxable incomes respond to changes in tax rates. </w:t>
      </w:r>
    </w:p>
    <w:p w:rsidR="00746BA5" w:rsidRPr="00901E26" w:rsidRDefault="001028C4"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Other economists however counter these results by using a different definition of income. </w:t>
      </w:r>
      <w:r w:rsidR="00A62777" w:rsidRPr="00901E26">
        <w:rPr>
          <w:rFonts w:ascii="Times New Roman" w:hAnsi="Times New Roman" w:cs="Times New Roman"/>
          <w:sz w:val="24"/>
          <w:szCs w:val="24"/>
        </w:rPr>
        <w:t>In a 2013 paper, economist</w:t>
      </w:r>
      <w:r w:rsidR="00DD4F36" w:rsidRPr="00901E26">
        <w:rPr>
          <w:rFonts w:ascii="Times New Roman" w:hAnsi="Times New Roman" w:cs="Times New Roman"/>
          <w:sz w:val="24"/>
          <w:szCs w:val="24"/>
        </w:rPr>
        <w:t xml:space="preserve">s Philip </w:t>
      </w:r>
      <w:proofErr w:type="spellStart"/>
      <w:r w:rsidR="00DD4F36" w:rsidRPr="00901E26">
        <w:rPr>
          <w:rFonts w:ascii="Times New Roman" w:hAnsi="Times New Roman" w:cs="Times New Roman"/>
          <w:sz w:val="24"/>
          <w:szCs w:val="24"/>
        </w:rPr>
        <w:t>Armour</w:t>
      </w:r>
      <w:proofErr w:type="spellEnd"/>
      <w:r w:rsidR="00DD4F36" w:rsidRPr="00901E26">
        <w:rPr>
          <w:rFonts w:ascii="Times New Roman" w:hAnsi="Times New Roman" w:cs="Times New Roman"/>
          <w:sz w:val="24"/>
          <w:szCs w:val="24"/>
        </w:rPr>
        <w:t xml:space="preserve">, </w:t>
      </w:r>
      <w:r w:rsidR="00A62777" w:rsidRPr="00901E26">
        <w:rPr>
          <w:rFonts w:ascii="Times New Roman" w:hAnsi="Times New Roman" w:cs="Times New Roman"/>
          <w:sz w:val="24"/>
          <w:szCs w:val="24"/>
        </w:rPr>
        <w:t xml:space="preserve">Richard </w:t>
      </w:r>
      <w:proofErr w:type="spellStart"/>
      <w:r w:rsidR="00A62777" w:rsidRPr="00901E26">
        <w:rPr>
          <w:rFonts w:ascii="Times New Roman" w:hAnsi="Times New Roman" w:cs="Times New Roman"/>
          <w:sz w:val="24"/>
          <w:szCs w:val="24"/>
        </w:rPr>
        <w:t>Burkh</w:t>
      </w:r>
      <w:r w:rsidRPr="00901E26">
        <w:rPr>
          <w:rFonts w:ascii="Times New Roman" w:hAnsi="Times New Roman" w:cs="Times New Roman"/>
          <w:sz w:val="24"/>
          <w:szCs w:val="24"/>
        </w:rPr>
        <w:t>auser</w:t>
      </w:r>
      <w:proofErr w:type="spellEnd"/>
      <w:r w:rsidRPr="00901E26">
        <w:rPr>
          <w:rFonts w:ascii="Times New Roman" w:hAnsi="Times New Roman" w:cs="Times New Roman"/>
          <w:sz w:val="24"/>
          <w:szCs w:val="24"/>
        </w:rPr>
        <w:t xml:space="preserve"> </w:t>
      </w:r>
      <w:r w:rsidR="00DD4F36" w:rsidRPr="00901E26">
        <w:rPr>
          <w:rFonts w:ascii="Times New Roman" w:hAnsi="Times New Roman" w:cs="Times New Roman"/>
          <w:sz w:val="24"/>
          <w:szCs w:val="24"/>
        </w:rPr>
        <w:t xml:space="preserve">and Jeff </w:t>
      </w:r>
      <w:proofErr w:type="spellStart"/>
      <w:r w:rsidR="00DD4F36" w:rsidRPr="00901E26">
        <w:rPr>
          <w:rFonts w:ascii="Times New Roman" w:hAnsi="Times New Roman" w:cs="Times New Roman"/>
          <w:sz w:val="24"/>
          <w:szCs w:val="24"/>
        </w:rPr>
        <w:t>Larrimore</w:t>
      </w:r>
      <w:proofErr w:type="spellEnd"/>
      <w:r w:rsidR="00DD4F36" w:rsidRPr="00901E26">
        <w:rPr>
          <w:rFonts w:ascii="Times New Roman" w:hAnsi="Times New Roman" w:cs="Times New Roman"/>
          <w:sz w:val="24"/>
          <w:szCs w:val="24"/>
        </w:rPr>
        <w:t xml:space="preserve"> </w:t>
      </w:r>
      <w:r w:rsidRPr="00901E26">
        <w:rPr>
          <w:rFonts w:ascii="Times New Roman" w:hAnsi="Times New Roman" w:cs="Times New Roman"/>
          <w:sz w:val="24"/>
          <w:szCs w:val="24"/>
        </w:rPr>
        <w:t>contend</w:t>
      </w:r>
      <w:r w:rsidR="00A62777" w:rsidRPr="00901E26">
        <w:rPr>
          <w:rFonts w:ascii="Times New Roman" w:hAnsi="Times New Roman" w:cs="Times New Roman"/>
          <w:sz w:val="24"/>
          <w:szCs w:val="24"/>
        </w:rPr>
        <w:t xml:space="preserve"> that by some measures, the growth in incomes at the top has been significantly lower than in incomes at the middle and bottom, such that the income share of the top quintile declined </w:t>
      </w:r>
      <w:proofErr w:type="gramStart"/>
      <w:r w:rsidR="00DE46C5" w:rsidRPr="00901E26">
        <w:rPr>
          <w:rFonts w:ascii="Times New Roman" w:hAnsi="Times New Roman" w:cs="Times New Roman"/>
          <w:sz w:val="24"/>
          <w:szCs w:val="24"/>
        </w:rPr>
        <w:t>between 1989-2007</w:t>
      </w:r>
      <w:r w:rsidR="00746BA5" w:rsidRPr="00901E26">
        <w:rPr>
          <w:rFonts w:ascii="Times New Roman" w:hAnsi="Times New Roman" w:cs="Times New Roman"/>
          <w:sz w:val="24"/>
          <w:szCs w:val="24"/>
        </w:rPr>
        <w:t xml:space="preserve"> while the share of the bottom quintiles increased</w:t>
      </w:r>
      <w:proofErr w:type="gramEnd"/>
      <w:r w:rsidR="00A62777" w:rsidRPr="00901E26">
        <w:rPr>
          <w:rFonts w:ascii="Times New Roman" w:hAnsi="Times New Roman" w:cs="Times New Roman"/>
          <w:sz w:val="24"/>
          <w:szCs w:val="24"/>
        </w:rPr>
        <w:t>.</w:t>
      </w:r>
      <w:r w:rsidR="006F5267">
        <w:rPr>
          <w:rStyle w:val="FootnoteReference"/>
          <w:rFonts w:ascii="Times New Roman" w:hAnsi="Times New Roman" w:cs="Times New Roman"/>
          <w:sz w:val="24"/>
          <w:szCs w:val="24"/>
        </w:rPr>
        <w:footnoteReference w:id="6"/>
      </w:r>
      <w:r w:rsidR="00A62777" w:rsidRPr="00901E26">
        <w:rPr>
          <w:rFonts w:ascii="Times New Roman" w:hAnsi="Times New Roman" w:cs="Times New Roman"/>
          <w:sz w:val="24"/>
          <w:szCs w:val="24"/>
        </w:rPr>
        <w:t xml:space="preserve"> </w:t>
      </w:r>
      <w:r w:rsidR="006952DB" w:rsidRPr="00901E26">
        <w:rPr>
          <w:rFonts w:ascii="Times New Roman" w:hAnsi="Times New Roman" w:cs="Times New Roman"/>
          <w:sz w:val="24"/>
          <w:szCs w:val="24"/>
        </w:rPr>
        <w:t>These economists argue</w:t>
      </w:r>
      <w:r w:rsidR="00A62777" w:rsidRPr="00901E26">
        <w:rPr>
          <w:rFonts w:ascii="Times New Roman" w:hAnsi="Times New Roman" w:cs="Times New Roman"/>
          <w:sz w:val="24"/>
          <w:szCs w:val="24"/>
        </w:rPr>
        <w:t xml:space="preserve"> that the true measure of income should focus on the Haig-Simons definition of income. In other words, we need to include accrued capital gains on </w:t>
      </w:r>
      <w:r w:rsidR="006952DB" w:rsidRPr="00901E26">
        <w:rPr>
          <w:rFonts w:ascii="Times New Roman" w:hAnsi="Times New Roman" w:cs="Times New Roman"/>
          <w:sz w:val="24"/>
          <w:szCs w:val="24"/>
        </w:rPr>
        <w:t>which are defined as increases or decreases in the value of capital assets every year, irrespective of whether the capital gains are realized or not</w:t>
      </w:r>
      <w:r w:rsidR="00A62777" w:rsidRPr="00901E26">
        <w:rPr>
          <w:rFonts w:ascii="Times New Roman" w:hAnsi="Times New Roman" w:cs="Times New Roman"/>
          <w:sz w:val="24"/>
          <w:szCs w:val="24"/>
        </w:rPr>
        <w:t xml:space="preserve">. </w:t>
      </w:r>
      <w:r w:rsidR="006952DB" w:rsidRPr="00901E26">
        <w:rPr>
          <w:rFonts w:ascii="Times New Roman" w:hAnsi="Times New Roman" w:cs="Times New Roman"/>
          <w:sz w:val="24"/>
          <w:szCs w:val="24"/>
        </w:rPr>
        <w:t xml:space="preserve">Neither the </w:t>
      </w:r>
      <w:proofErr w:type="spellStart"/>
      <w:r w:rsidR="006952DB" w:rsidRPr="00901E26">
        <w:rPr>
          <w:rFonts w:ascii="Times New Roman" w:hAnsi="Times New Roman" w:cs="Times New Roman"/>
          <w:sz w:val="24"/>
          <w:szCs w:val="24"/>
        </w:rPr>
        <w:t>Piketty</w:t>
      </w:r>
      <w:proofErr w:type="spellEnd"/>
      <w:r w:rsidR="006952DB" w:rsidRPr="00901E26">
        <w:rPr>
          <w:rFonts w:ascii="Times New Roman" w:hAnsi="Times New Roman" w:cs="Times New Roman"/>
          <w:sz w:val="24"/>
          <w:szCs w:val="24"/>
        </w:rPr>
        <w:t xml:space="preserve"> and </w:t>
      </w:r>
      <w:proofErr w:type="spellStart"/>
      <w:r w:rsidR="006952DB" w:rsidRPr="00901E26">
        <w:rPr>
          <w:rFonts w:ascii="Times New Roman" w:hAnsi="Times New Roman" w:cs="Times New Roman"/>
          <w:sz w:val="24"/>
          <w:szCs w:val="24"/>
        </w:rPr>
        <w:t>Saez</w:t>
      </w:r>
      <w:proofErr w:type="spellEnd"/>
      <w:r w:rsidR="006952DB" w:rsidRPr="00901E26">
        <w:rPr>
          <w:rFonts w:ascii="Times New Roman" w:hAnsi="Times New Roman" w:cs="Times New Roman"/>
          <w:sz w:val="24"/>
          <w:szCs w:val="24"/>
        </w:rPr>
        <w:t xml:space="preserve"> paper, nor t</w:t>
      </w:r>
      <w:r w:rsidR="00A62777" w:rsidRPr="00901E26">
        <w:rPr>
          <w:rFonts w:ascii="Times New Roman" w:hAnsi="Times New Roman" w:cs="Times New Roman"/>
          <w:sz w:val="24"/>
          <w:szCs w:val="24"/>
        </w:rPr>
        <w:t>he CBO</w:t>
      </w:r>
      <w:r w:rsidR="006952DB" w:rsidRPr="00901E26">
        <w:rPr>
          <w:rFonts w:ascii="Times New Roman" w:hAnsi="Times New Roman" w:cs="Times New Roman"/>
          <w:sz w:val="24"/>
          <w:szCs w:val="24"/>
        </w:rPr>
        <w:t xml:space="preserve">, </w:t>
      </w:r>
      <w:r w:rsidR="00A62777" w:rsidRPr="00901E26">
        <w:rPr>
          <w:rFonts w:ascii="Times New Roman" w:hAnsi="Times New Roman" w:cs="Times New Roman"/>
          <w:sz w:val="24"/>
          <w:szCs w:val="24"/>
        </w:rPr>
        <w:t xml:space="preserve">include accrued capital gains </w:t>
      </w:r>
      <w:r w:rsidR="006952DB" w:rsidRPr="00901E26">
        <w:rPr>
          <w:rFonts w:ascii="Times New Roman" w:hAnsi="Times New Roman" w:cs="Times New Roman"/>
          <w:sz w:val="24"/>
          <w:szCs w:val="24"/>
        </w:rPr>
        <w:t>though they do account for realized taxable capital gains</w:t>
      </w:r>
      <w:r w:rsidR="00A62777" w:rsidRPr="00901E26">
        <w:rPr>
          <w:rFonts w:ascii="Times New Roman" w:hAnsi="Times New Roman" w:cs="Times New Roman"/>
          <w:sz w:val="24"/>
          <w:szCs w:val="24"/>
        </w:rPr>
        <w:t xml:space="preserve">. </w:t>
      </w:r>
    </w:p>
    <w:p w:rsidR="00E80136" w:rsidRPr="00901E26" w:rsidRDefault="00A62777"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In </w:t>
      </w:r>
      <w:r w:rsidR="006B11C5" w:rsidRPr="00901E26">
        <w:rPr>
          <w:rFonts w:ascii="Times New Roman" w:hAnsi="Times New Roman" w:cs="Times New Roman"/>
          <w:sz w:val="24"/>
          <w:szCs w:val="24"/>
        </w:rPr>
        <w:t>a</w:t>
      </w:r>
      <w:r w:rsidRPr="00901E26">
        <w:rPr>
          <w:rFonts w:ascii="Times New Roman" w:hAnsi="Times New Roman" w:cs="Times New Roman"/>
          <w:sz w:val="24"/>
          <w:szCs w:val="24"/>
        </w:rPr>
        <w:t xml:space="preserve"> recent paper, </w:t>
      </w:r>
      <w:r w:rsidR="006B11C5" w:rsidRPr="00901E26">
        <w:rPr>
          <w:rFonts w:ascii="Times New Roman" w:hAnsi="Times New Roman" w:cs="Times New Roman"/>
          <w:sz w:val="24"/>
          <w:szCs w:val="24"/>
        </w:rPr>
        <w:t xml:space="preserve">economist </w:t>
      </w:r>
      <w:r w:rsidRPr="00901E26">
        <w:rPr>
          <w:rFonts w:ascii="Times New Roman" w:hAnsi="Times New Roman" w:cs="Times New Roman"/>
          <w:sz w:val="24"/>
          <w:szCs w:val="24"/>
        </w:rPr>
        <w:t xml:space="preserve">Greg </w:t>
      </w:r>
      <w:proofErr w:type="spellStart"/>
      <w:r w:rsidRPr="00901E26">
        <w:rPr>
          <w:rFonts w:ascii="Times New Roman" w:hAnsi="Times New Roman" w:cs="Times New Roman"/>
          <w:sz w:val="24"/>
          <w:szCs w:val="24"/>
        </w:rPr>
        <w:t>Mankiw</w:t>
      </w:r>
      <w:proofErr w:type="spellEnd"/>
      <w:r w:rsidR="007066F3">
        <w:rPr>
          <w:rFonts w:ascii="Times New Roman" w:hAnsi="Times New Roman" w:cs="Times New Roman" w:hint="eastAsia"/>
          <w:sz w:val="24"/>
          <w:szCs w:val="24"/>
          <w:lang w:eastAsia="zh-CN"/>
        </w:rPr>
        <w:t xml:space="preserve"> (2013)</w:t>
      </w:r>
      <w:r w:rsidRPr="00901E26">
        <w:rPr>
          <w:rFonts w:ascii="Times New Roman" w:hAnsi="Times New Roman" w:cs="Times New Roman"/>
          <w:sz w:val="24"/>
          <w:szCs w:val="24"/>
        </w:rPr>
        <w:t xml:space="preserve"> posits that perhaps inequality is not a problem as long as the compensation of the top 1 percent reflects their contribution to society—the “just deserts” principle.</w:t>
      </w:r>
      <w:r w:rsidR="005C50EC">
        <w:rPr>
          <w:rStyle w:val="FootnoteReference"/>
          <w:rFonts w:ascii="Times New Roman" w:hAnsi="Times New Roman" w:cs="Times New Roman"/>
          <w:sz w:val="24"/>
          <w:szCs w:val="24"/>
        </w:rPr>
        <w:footnoteReference w:id="7"/>
      </w:r>
      <w:r w:rsidR="006B11C5" w:rsidRPr="00901E26">
        <w:rPr>
          <w:rFonts w:ascii="Times New Roman" w:hAnsi="Times New Roman" w:cs="Times New Roman"/>
          <w:sz w:val="24"/>
          <w:szCs w:val="24"/>
        </w:rPr>
        <w:t xml:space="preserve"> If returns to high income individuals reflect largely their economic contributions to society, then taxing high incomes in</w:t>
      </w:r>
      <w:r w:rsidR="00AC590E">
        <w:rPr>
          <w:rFonts w:ascii="Times New Roman" w:hAnsi="Times New Roman" w:cs="Times New Roman"/>
          <w:sz w:val="24"/>
          <w:szCs w:val="24"/>
        </w:rPr>
        <w:t xml:space="preserve"> </w:t>
      </w:r>
      <w:r w:rsidR="006B11C5" w:rsidRPr="00901E26">
        <w:rPr>
          <w:rFonts w:ascii="Times New Roman" w:hAnsi="Times New Roman" w:cs="Times New Roman"/>
          <w:sz w:val="24"/>
          <w:szCs w:val="24"/>
        </w:rPr>
        <w:t>a confiscatory fashion may be equally unjust.</w:t>
      </w:r>
    </w:p>
    <w:p w:rsidR="00E80136" w:rsidRPr="00901E26" w:rsidRDefault="0044692B"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Hence it would appear that after decades of research on income inequality, we are still unsure of the extent of income inequality</w:t>
      </w:r>
      <w:r w:rsidR="00C37205" w:rsidRPr="00901E26">
        <w:rPr>
          <w:rFonts w:ascii="Times New Roman" w:hAnsi="Times New Roman" w:cs="Times New Roman"/>
          <w:sz w:val="24"/>
          <w:szCs w:val="24"/>
        </w:rPr>
        <w:t xml:space="preserve">, and even whether to view it as a problem, </w:t>
      </w:r>
      <w:r w:rsidRPr="00901E26">
        <w:rPr>
          <w:rFonts w:ascii="Times New Roman" w:hAnsi="Times New Roman" w:cs="Times New Roman"/>
          <w:sz w:val="24"/>
          <w:szCs w:val="24"/>
        </w:rPr>
        <w:t>due to the lack of a consistent defini</w:t>
      </w:r>
      <w:r w:rsidR="00C37205" w:rsidRPr="00901E26">
        <w:rPr>
          <w:rFonts w:ascii="Times New Roman" w:hAnsi="Times New Roman" w:cs="Times New Roman"/>
          <w:sz w:val="24"/>
          <w:szCs w:val="24"/>
        </w:rPr>
        <w:t>tion of what constitutes income and what that income represents.</w:t>
      </w:r>
    </w:p>
    <w:p w:rsidR="00EC75B6" w:rsidRPr="00901E26" w:rsidRDefault="00EC75B6"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I believe that the real focus of inequality research is not so much about whether the rich are doing better than the poor, but </w:t>
      </w:r>
      <w:r w:rsidR="0059635B" w:rsidRPr="00901E26">
        <w:rPr>
          <w:rFonts w:ascii="Times New Roman" w:hAnsi="Times New Roman" w:cs="Times New Roman"/>
          <w:sz w:val="24"/>
          <w:szCs w:val="24"/>
        </w:rPr>
        <w:t>about how low income households are faring and have fared over the last few decades</w:t>
      </w:r>
      <w:r w:rsidR="00F248E2" w:rsidRPr="00901E26">
        <w:rPr>
          <w:rFonts w:ascii="Times New Roman" w:hAnsi="Times New Roman" w:cs="Times New Roman"/>
          <w:sz w:val="24"/>
          <w:szCs w:val="24"/>
        </w:rPr>
        <w:t xml:space="preserve">. </w:t>
      </w:r>
      <w:r w:rsidR="0059635B" w:rsidRPr="00901E26">
        <w:rPr>
          <w:rFonts w:ascii="Times New Roman" w:hAnsi="Times New Roman" w:cs="Times New Roman"/>
          <w:sz w:val="24"/>
          <w:szCs w:val="24"/>
        </w:rPr>
        <w:t>In the next section, I discuss an alternative approach to measuring inequality that focuses on trends in consumption rather than income.</w:t>
      </w:r>
    </w:p>
    <w:p w:rsidR="0044692B" w:rsidRDefault="0044692B" w:rsidP="00792F39">
      <w:pPr>
        <w:spacing w:after="0" w:line="360" w:lineRule="auto"/>
        <w:ind w:firstLine="360"/>
        <w:jc w:val="both"/>
        <w:rPr>
          <w:rFonts w:ascii="Times New Roman" w:hAnsi="Times New Roman" w:cs="Times New Roman"/>
          <w:sz w:val="24"/>
          <w:szCs w:val="24"/>
        </w:rPr>
      </w:pPr>
    </w:p>
    <w:p w:rsidR="00E068EA" w:rsidRDefault="00E068EA" w:rsidP="00792F39">
      <w:pPr>
        <w:spacing w:after="0" w:line="360" w:lineRule="auto"/>
        <w:ind w:firstLine="360"/>
        <w:jc w:val="both"/>
        <w:rPr>
          <w:rFonts w:ascii="Times New Roman" w:hAnsi="Times New Roman" w:cs="Times New Roman"/>
          <w:sz w:val="24"/>
          <w:szCs w:val="24"/>
        </w:rPr>
      </w:pPr>
    </w:p>
    <w:p w:rsidR="00E068EA" w:rsidRPr="00901E26" w:rsidRDefault="00E068EA" w:rsidP="00792F39">
      <w:pPr>
        <w:spacing w:after="0" w:line="360" w:lineRule="auto"/>
        <w:ind w:firstLine="360"/>
        <w:jc w:val="both"/>
        <w:rPr>
          <w:rFonts w:ascii="Times New Roman" w:hAnsi="Times New Roman" w:cs="Times New Roman"/>
          <w:sz w:val="24"/>
          <w:szCs w:val="24"/>
        </w:rPr>
      </w:pPr>
    </w:p>
    <w:p w:rsidR="0044692B" w:rsidRPr="00901E26" w:rsidRDefault="0044692B" w:rsidP="00901E26">
      <w:pPr>
        <w:spacing w:line="360" w:lineRule="auto"/>
        <w:ind w:firstLine="360"/>
        <w:jc w:val="center"/>
        <w:rPr>
          <w:rFonts w:ascii="Times New Roman" w:hAnsi="Times New Roman" w:cs="Times New Roman"/>
          <w:sz w:val="24"/>
          <w:szCs w:val="24"/>
        </w:rPr>
      </w:pPr>
      <w:r w:rsidRPr="00901E26">
        <w:rPr>
          <w:rFonts w:ascii="Times New Roman" w:hAnsi="Times New Roman" w:cs="Times New Roman"/>
          <w:sz w:val="24"/>
          <w:szCs w:val="24"/>
        </w:rPr>
        <w:t>III. Consumption Inequality</w:t>
      </w:r>
    </w:p>
    <w:p w:rsidR="0044692B" w:rsidRPr="00901E26" w:rsidRDefault="0044692B"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One thing economists agree upon is that consumption is a better measure of well-being than income. What we buy and consume with our income directly adds to our utility and happiness, and also has a direct impact on our standard of living. Individuals are also better able to smooth consumption rather than income over their lifecycle. While a retired, older individual has low levels of current income, he can still enjoy a high standard of living due to lifetime savings and other forms of wealth. A student with low current incomes can borrow to finance education and household expenses in the hope of earning high incomes in the future from a relatively well-paying job. So one reason why income and consumption are de-linked is the possibility of borrowing and saving. In fact, it is probably rational to assume that at least some part of a poor or low-income family’s consumption is being sustained by indebtedness. However, another reason for the mismatch between income and consumption is likely the tax and transfer system. Many redistributive policies support consumption for low income households and provide transfer payments to them. As we discussed previously, most studies of income inequality are unable to get at these transfer payments.</w:t>
      </w:r>
    </w:p>
    <w:p w:rsidR="0044692B" w:rsidRPr="007E3F26" w:rsidRDefault="00CB037F" w:rsidP="00792F39">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C</w:t>
      </w:r>
      <w:r w:rsidR="0044692B" w:rsidRPr="00901E26">
        <w:rPr>
          <w:rFonts w:ascii="Times New Roman" w:hAnsi="Times New Roman" w:cs="Times New Roman"/>
          <w:sz w:val="24"/>
          <w:szCs w:val="24"/>
        </w:rPr>
        <w:t xml:space="preserve">onsumption inequality has also been extensively studied in the literature, though perhaps not as much as income inequality. Results from these papers are also mixed. </w:t>
      </w:r>
      <w:r w:rsidR="005C1DCC" w:rsidRPr="00F97688">
        <w:t xml:space="preserve">Krueger and </w:t>
      </w:r>
      <w:proofErr w:type="spellStart"/>
      <w:r w:rsidR="005C1DCC" w:rsidRPr="00F97688">
        <w:t>Perri</w:t>
      </w:r>
      <w:proofErr w:type="spellEnd"/>
      <w:r w:rsidR="00582175">
        <w:rPr>
          <w:rFonts w:hint="eastAsia"/>
          <w:lang w:eastAsia="zh-CN"/>
        </w:rPr>
        <w:t xml:space="preserve"> (2005)</w:t>
      </w:r>
      <w:r w:rsidR="0044692B" w:rsidRPr="00901E26">
        <w:rPr>
          <w:rFonts w:ascii="Times New Roman" w:hAnsi="Times New Roman" w:cs="Times New Roman"/>
          <w:sz w:val="24"/>
          <w:szCs w:val="24"/>
        </w:rPr>
        <w:t xml:space="preserve"> find that while income inequality increased during the period 1980-2003, consumption inequality did not.</w:t>
      </w:r>
      <w:r w:rsidR="00E14419">
        <w:rPr>
          <w:rStyle w:val="FootnoteReference"/>
          <w:rFonts w:ascii="Times New Roman" w:hAnsi="Times New Roman" w:cs="Times New Roman"/>
          <w:sz w:val="24"/>
          <w:szCs w:val="24"/>
        </w:rPr>
        <w:footnoteReference w:id="8"/>
      </w:r>
      <w:r w:rsidR="0044692B" w:rsidRPr="00901E26">
        <w:rPr>
          <w:rFonts w:ascii="Times New Roman" w:hAnsi="Times New Roman" w:cs="Times New Roman"/>
          <w:sz w:val="24"/>
          <w:szCs w:val="24"/>
        </w:rPr>
        <w:t xml:space="preserve"> </w:t>
      </w:r>
      <w:r w:rsidR="0044692B" w:rsidRPr="0059090E">
        <w:rPr>
          <w:rFonts w:ascii="Times New Roman" w:hAnsi="Times New Roman" w:cs="Times New Roman"/>
          <w:sz w:val="24"/>
          <w:szCs w:val="24"/>
        </w:rPr>
        <w:t xml:space="preserve">However, </w:t>
      </w:r>
      <w:r w:rsidR="009B3FC5" w:rsidRPr="0059090E">
        <w:rPr>
          <w:rFonts w:ascii="Times New Roman" w:hAnsi="Times New Roman" w:cs="Times New Roman"/>
          <w:sz w:val="24"/>
          <w:szCs w:val="24"/>
        </w:rPr>
        <w:t>Blundell and colleagues</w:t>
      </w:r>
      <w:r w:rsidR="008D4183" w:rsidRPr="0059090E">
        <w:rPr>
          <w:rFonts w:ascii="Times New Roman" w:hAnsi="Times New Roman" w:cs="Times New Roman"/>
          <w:sz w:val="24"/>
          <w:szCs w:val="24"/>
          <w:lang w:eastAsia="zh-CN"/>
        </w:rPr>
        <w:t xml:space="preserve"> (2008)</w:t>
      </w:r>
      <w:r w:rsidR="0044692B" w:rsidRPr="0059090E">
        <w:rPr>
          <w:rFonts w:ascii="Times New Roman" w:hAnsi="Times New Roman" w:cs="Times New Roman"/>
          <w:sz w:val="24"/>
          <w:szCs w:val="24"/>
        </w:rPr>
        <w:t xml:space="preserve"> show that income and consumption inequality diverged between the 1970s and the 1990s.</w:t>
      </w:r>
      <w:r w:rsidR="00DF5095" w:rsidRPr="0059090E">
        <w:rPr>
          <w:rStyle w:val="FootnoteReference"/>
          <w:rFonts w:ascii="Times New Roman" w:hAnsi="Times New Roman" w:cs="Times New Roman"/>
          <w:sz w:val="24"/>
          <w:szCs w:val="24"/>
        </w:rPr>
        <w:footnoteReference w:id="9"/>
      </w:r>
      <w:r w:rsidR="0044692B" w:rsidRPr="0059090E">
        <w:rPr>
          <w:rFonts w:ascii="Times New Roman" w:hAnsi="Times New Roman" w:cs="Times New Roman"/>
          <w:sz w:val="24"/>
          <w:szCs w:val="24"/>
        </w:rPr>
        <w:t xml:space="preserve"> </w:t>
      </w:r>
      <w:r w:rsidR="00A81CC0" w:rsidRPr="0059090E">
        <w:rPr>
          <w:rFonts w:ascii="Times New Roman" w:hAnsi="Times New Roman" w:cs="Times New Roman"/>
          <w:sz w:val="24"/>
          <w:szCs w:val="24"/>
        </w:rPr>
        <w:t>Other papers</w:t>
      </w:r>
      <w:r w:rsidR="0044692B" w:rsidRPr="0059090E">
        <w:rPr>
          <w:rFonts w:ascii="Times New Roman" w:hAnsi="Times New Roman" w:cs="Times New Roman"/>
          <w:sz w:val="24"/>
          <w:szCs w:val="24"/>
        </w:rPr>
        <w:t xml:space="preserve"> find that income and consumption inequality have tracked each other closely since the 1980s.</w:t>
      </w:r>
      <w:r w:rsidR="00640CB2" w:rsidRPr="0059090E">
        <w:rPr>
          <w:rStyle w:val="FootnoteReference"/>
          <w:rFonts w:ascii="Times New Roman" w:hAnsi="Times New Roman" w:cs="Times New Roman"/>
          <w:sz w:val="24"/>
          <w:szCs w:val="24"/>
        </w:rPr>
        <w:footnoteReference w:id="10"/>
      </w:r>
      <w:r w:rsidR="0044692B" w:rsidRPr="0059090E">
        <w:rPr>
          <w:rFonts w:ascii="Times New Roman" w:hAnsi="Times New Roman" w:cs="Times New Roman"/>
          <w:sz w:val="24"/>
          <w:szCs w:val="24"/>
        </w:rPr>
        <w:t>  In general</w:t>
      </w:r>
      <w:r w:rsidR="0044692B" w:rsidRPr="00901E26">
        <w:rPr>
          <w:rFonts w:ascii="Times New Roman" w:hAnsi="Times New Roman" w:cs="Times New Roman"/>
          <w:sz w:val="24"/>
          <w:szCs w:val="24"/>
        </w:rPr>
        <w:t>, the data used in these studies comes from either the Consumer Expenditure Survey (CEX) or the Panel Study of Income Dynamics. There are two problems with using the CEX to measure consumption inequality, however: measurement errors and a lack of information on the consumption of durable goods</w:t>
      </w:r>
      <w:r w:rsidR="0044692B" w:rsidRPr="007E3F26">
        <w:rPr>
          <w:rFonts w:ascii="Times New Roman" w:hAnsi="Times New Roman" w:cs="Times New Roman"/>
          <w:sz w:val="24"/>
          <w:szCs w:val="24"/>
        </w:rPr>
        <w:t xml:space="preserve">.  Several authors, including </w:t>
      </w:r>
      <w:proofErr w:type="spellStart"/>
      <w:r w:rsidR="004A56F1" w:rsidRPr="007E3F26">
        <w:rPr>
          <w:rFonts w:ascii="Times New Roman" w:hAnsi="Times New Roman" w:cs="Times New Roman"/>
          <w:sz w:val="24"/>
          <w:szCs w:val="24"/>
        </w:rPr>
        <w:t>Attanasio</w:t>
      </w:r>
      <w:proofErr w:type="spellEnd"/>
      <w:r w:rsidR="004A56F1" w:rsidRPr="007E3F26">
        <w:rPr>
          <w:rFonts w:ascii="Times New Roman" w:hAnsi="Times New Roman" w:cs="Times New Roman"/>
          <w:sz w:val="24"/>
          <w:szCs w:val="24"/>
        </w:rPr>
        <w:t xml:space="preserve"> et al</w:t>
      </w:r>
      <w:r w:rsidR="00884217" w:rsidRPr="007E3F26">
        <w:rPr>
          <w:rFonts w:ascii="Times New Roman" w:hAnsi="Times New Roman" w:cs="Times New Roman"/>
          <w:sz w:val="24"/>
          <w:szCs w:val="24"/>
          <w:lang w:eastAsia="zh-CN"/>
        </w:rPr>
        <w:t xml:space="preserve"> (2012)</w:t>
      </w:r>
      <w:r w:rsidR="004A56F1" w:rsidRPr="007E3F26">
        <w:rPr>
          <w:rStyle w:val="FootnoteReference"/>
          <w:rFonts w:ascii="Times New Roman" w:hAnsi="Times New Roman" w:cs="Times New Roman"/>
          <w:sz w:val="24"/>
          <w:szCs w:val="24"/>
        </w:rPr>
        <w:footnoteReference w:id="11"/>
      </w:r>
      <w:r w:rsidR="0044692B" w:rsidRPr="007E3F26">
        <w:rPr>
          <w:rFonts w:ascii="Times New Roman" w:hAnsi="Times New Roman" w:cs="Times New Roman"/>
          <w:sz w:val="24"/>
          <w:szCs w:val="24"/>
        </w:rPr>
        <w:t xml:space="preserve"> and </w:t>
      </w:r>
      <w:proofErr w:type="spellStart"/>
      <w:r w:rsidR="00CC6FF4" w:rsidRPr="007E3F26">
        <w:rPr>
          <w:rFonts w:ascii="Times New Roman" w:hAnsi="Times New Roman" w:cs="Times New Roman"/>
          <w:sz w:val="24"/>
          <w:szCs w:val="24"/>
        </w:rPr>
        <w:t>Aguiar</w:t>
      </w:r>
      <w:proofErr w:type="spellEnd"/>
      <w:r w:rsidR="00CC6FF4" w:rsidRPr="007E3F26">
        <w:rPr>
          <w:rFonts w:ascii="Times New Roman" w:hAnsi="Times New Roman" w:cs="Times New Roman"/>
          <w:sz w:val="24"/>
          <w:szCs w:val="24"/>
        </w:rPr>
        <w:t xml:space="preserve"> and </w:t>
      </w:r>
      <w:proofErr w:type="spellStart"/>
      <w:r w:rsidR="00CC6FF4" w:rsidRPr="007E3F26">
        <w:rPr>
          <w:rFonts w:ascii="Times New Roman" w:hAnsi="Times New Roman" w:cs="Times New Roman"/>
          <w:sz w:val="24"/>
          <w:szCs w:val="24"/>
        </w:rPr>
        <w:t>Bils</w:t>
      </w:r>
      <w:proofErr w:type="spellEnd"/>
      <w:r w:rsidR="00884217" w:rsidRPr="007E3F26">
        <w:rPr>
          <w:rFonts w:ascii="Times New Roman" w:hAnsi="Times New Roman" w:cs="Times New Roman"/>
          <w:sz w:val="24"/>
          <w:szCs w:val="24"/>
          <w:lang w:eastAsia="zh-CN"/>
        </w:rPr>
        <w:t xml:space="preserve"> (2011)</w:t>
      </w:r>
      <w:r w:rsidR="00CC6FF4" w:rsidRPr="007E3F26">
        <w:rPr>
          <w:rStyle w:val="FootnoteReference"/>
          <w:rFonts w:ascii="Times New Roman" w:hAnsi="Times New Roman" w:cs="Times New Roman"/>
          <w:sz w:val="24"/>
          <w:szCs w:val="24"/>
        </w:rPr>
        <w:footnoteReference w:id="12"/>
      </w:r>
      <w:r w:rsidR="0044692B" w:rsidRPr="007E3F26">
        <w:rPr>
          <w:rFonts w:ascii="Times New Roman" w:hAnsi="Times New Roman" w:cs="Times New Roman"/>
          <w:sz w:val="24"/>
          <w:szCs w:val="24"/>
        </w:rPr>
        <w:t>, have attempted to account for the measurement errors in this data, by using techniques that enable them to predict expenditures for the less well-measured items by using information on better-measured items. While we do not criticize or applaud their approach, it does imply that in order to get anything meaningful from the CEX data for measurement of inequality, authors need to rely heavily on modeling assumptions and non-standard approaches, as opposed to simply using the raw data.</w:t>
      </w:r>
    </w:p>
    <w:p w:rsidR="0044692B" w:rsidRPr="00901E26" w:rsidRDefault="0044692B" w:rsidP="00792F39">
      <w:pPr>
        <w:spacing w:after="0" w:line="360" w:lineRule="auto"/>
        <w:ind w:firstLine="360"/>
        <w:jc w:val="both"/>
        <w:rPr>
          <w:rFonts w:ascii="Times New Roman" w:hAnsi="Times New Roman" w:cs="Times New Roman"/>
          <w:sz w:val="24"/>
          <w:szCs w:val="24"/>
        </w:rPr>
      </w:pPr>
      <w:r w:rsidRPr="007E3F26">
        <w:rPr>
          <w:rFonts w:ascii="Times New Roman" w:hAnsi="Times New Roman" w:cs="Times New Roman"/>
          <w:sz w:val="24"/>
          <w:szCs w:val="24"/>
        </w:rPr>
        <w:t>Prec</w:t>
      </w:r>
      <w:r w:rsidR="00CB037F" w:rsidRPr="007E3F26">
        <w:rPr>
          <w:rFonts w:ascii="Times New Roman" w:hAnsi="Times New Roman" w:cs="Times New Roman"/>
          <w:sz w:val="24"/>
          <w:szCs w:val="24"/>
        </w:rPr>
        <w:t xml:space="preserve">isely for these reasons, in a </w:t>
      </w:r>
      <w:r w:rsidRPr="007E3F26">
        <w:rPr>
          <w:rFonts w:ascii="Times New Roman" w:hAnsi="Times New Roman" w:cs="Times New Roman"/>
          <w:sz w:val="24"/>
          <w:szCs w:val="24"/>
        </w:rPr>
        <w:t>study</w:t>
      </w:r>
      <w:r w:rsidR="00CB037F" w:rsidRPr="007E3F26">
        <w:rPr>
          <w:rFonts w:ascii="Times New Roman" w:hAnsi="Times New Roman" w:cs="Times New Roman"/>
          <w:sz w:val="24"/>
          <w:szCs w:val="24"/>
        </w:rPr>
        <w:t xml:space="preserve"> that I co-authored with Kevin Hassett, not only did</w:t>
      </w:r>
      <w:r w:rsidRPr="007E3F26">
        <w:rPr>
          <w:rFonts w:ascii="Times New Roman" w:hAnsi="Times New Roman" w:cs="Times New Roman"/>
          <w:sz w:val="24"/>
          <w:szCs w:val="24"/>
        </w:rPr>
        <w:t xml:space="preserve"> we work with the CEX data but we also supplement</w:t>
      </w:r>
      <w:r w:rsidR="00CB037F" w:rsidRPr="007E3F26">
        <w:rPr>
          <w:rFonts w:ascii="Times New Roman" w:hAnsi="Times New Roman" w:cs="Times New Roman"/>
          <w:sz w:val="24"/>
          <w:szCs w:val="24"/>
        </w:rPr>
        <w:t>ed</w:t>
      </w:r>
      <w:r w:rsidRPr="007E3F26">
        <w:rPr>
          <w:rFonts w:ascii="Times New Roman" w:hAnsi="Times New Roman" w:cs="Times New Roman"/>
          <w:sz w:val="24"/>
          <w:szCs w:val="24"/>
        </w:rPr>
        <w:t xml:space="preserve"> our analysis with the use of the Residential Energy Consumption Survey (RECS) data.</w:t>
      </w:r>
      <w:r w:rsidR="001262EC" w:rsidRPr="007E3F26">
        <w:rPr>
          <w:rStyle w:val="FootnoteReference"/>
          <w:rFonts w:ascii="Times New Roman" w:hAnsi="Times New Roman" w:cs="Times New Roman"/>
          <w:sz w:val="24"/>
          <w:szCs w:val="24"/>
        </w:rPr>
        <w:footnoteReference w:id="13"/>
      </w:r>
      <w:r w:rsidRPr="007E3F26">
        <w:rPr>
          <w:rFonts w:ascii="Times New Roman" w:hAnsi="Times New Roman" w:cs="Times New Roman"/>
          <w:sz w:val="24"/>
          <w:szCs w:val="24"/>
        </w:rPr>
        <w:t xml:space="preserve"> The CEX provides a good overview of nondurables’ consumption by American households. In 1984, households in the top income quintile accounted for 37 percent of total expenditures, while households in the bottom</w:t>
      </w:r>
      <w:r w:rsidRPr="00901E26">
        <w:rPr>
          <w:rFonts w:ascii="Times New Roman" w:hAnsi="Times New Roman" w:cs="Times New Roman"/>
          <w:sz w:val="24"/>
          <w:szCs w:val="24"/>
        </w:rPr>
        <w:t xml:space="preserve"> quintile accounted for 10 percent. Hence the ratio of top to bottom consumption was 3.7. In 2010, that ratio increased to 4.4. The gap was widest in 2005 when the share of consumption for the top was 39 percent relative to 8 percent at the bottom. In the most recent recession, it appears that households at the bottom increased their share by 1 percentage point while the share at the top either declined or remained steady. In the 2001 recession, the ratio declined as well, suggesting that recessions work towards a more even distribution. On average, over the entire period, the ratio is 4.3 with a standard deviation of 0.22. Therefore, using this measure, we find that consumption inequality has increased only marginally over time.</w:t>
      </w:r>
    </w:p>
    <w:p w:rsidR="0044692B" w:rsidRPr="00901E26" w:rsidRDefault="0044692B" w:rsidP="00792F39">
      <w:pPr>
        <w:pStyle w:val="NormalWeb"/>
        <w:spacing w:before="0" w:beforeAutospacing="0" w:after="0" w:afterAutospacing="0" w:line="360" w:lineRule="auto"/>
        <w:ind w:firstLine="360"/>
        <w:jc w:val="both"/>
      </w:pPr>
      <w:r w:rsidRPr="00901E26">
        <w:t>If we compare these trends in consumption to trends in income using the Current Population Survey data, which is widely used for research on income inequality, we find that the story is strikingly different. As per our analysis, in 1984, pre-tax incomes at the top were more than 11 times incomes in the bottom quintile. In 2010, that ratio rose to 15.4. The average for the entire period is 13.5. Clearly, inequality using annual incomes is significantly higher than when we use consumption, and it has tended to widen over time.</w:t>
      </w:r>
    </w:p>
    <w:p w:rsidR="0044692B" w:rsidRPr="00901E26" w:rsidRDefault="0044692B" w:rsidP="00792F39">
      <w:pPr>
        <w:pStyle w:val="NormalWeb"/>
        <w:spacing w:before="0" w:beforeAutospacing="0" w:after="0" w:afterAutospacing="0" w:line="360" w:lineRule="auto"/>
        <w:ind w:firstLine="360"/>
        <w:jc w:val="both"/>
      </w:pPr>
      <w:r w:rsidRPr="00901E26">
        <w:t>As mentioned earlier, the CEX is not a good source of data on durable goods consumption. Therefore, we worked with the RECS data as well. This survey has questions on household use of appliances such as microwaves, dishwashers, computers, printers and other data. What we find is that the access of low-income Americans – those earning less than $20,000 in real 2009 dollars – to these devices has increased. The percentage of low-income households with a computer rose to 47.7% from 19.8% in 2001. The percentage of low-income homes with six or more rooms (excluding bathrooms) rose to 30% from 21.9% over the same period.  Similar increases can be documented for appliances like air-conditioners, dishwashers, microwaves, cell phones and other household items.</w:t>
      </w:r>
    </w:p>
    <w:p w:rsidR="0044692B" w:rsidRPr="00901E26" w:rsidRDefault="0044692B" w:rsidP="00792F39">
      <w:pPr>
        <w:pStyle w:val="NormalWeb"/>
        <w:spacing w:before="0" w:beforeAutospacing="0" w:after="0" w:afterAutospacing="0" w:line="360" w:lineRule="auto"/>
        <w:ind w:firstLine="360"/>
        <w:jc w:val="both"/>
      </w:pPr>
      <w:r w:rsidRPr="00901E26">
        <w:t>In general, we find that people at all income levels now have access to many more material possessions than they did in the 1980s. Moreover, there has been a narrowing of the gap between high and low income classes in terms of ownership of these items. It is hard to argue against the improvement in the standard of living that has accompanied these trends.</w:t>
      </w:r>
    </w:p>
    <w:p w:rsidR="0044692B" w:rsidRPr="00901E26" w:rsidRDefault="0044692B" w:rsidP="00792F39">
      <w:pPr>
        <w:pStyle w:val="NormalWeb"/>
        <w:spacing w:before="0" w:beforeAutospacing="0" w:after="0" w:afterAutospacing="0" w:line="360" w:lineRule="auto"/>
        <w:ind w:firstLine="360"/>
        <w:jc w:val="both"/>
      </w:pPr>
      <w:r w:rsidRPr="00901E26">
        <w:t xml:space="preserve">Hence, the standard narrative that rising income inequality has somehow hurt the middle and lower income classes is not supported by data. Policies aimed at redistributing incomes from the top to the lower income classes have certainly been responsible for part of this trend. However, we would caution against using this argument for raising marginal tax rates at the top to levels seen in the 1970s. In another </w:t>
      </w:r>
      <w:r w:rsidR="00592510" w:rsidRPr="00F97688">
        <w:t>co-authored piece</w:t>
      </w:r>
      <w:r w:rsidRPr="00901E26">
        <w:t>,</w:t>
      </w:r>
      <w:r w:rsidR="007615BB">
        <w:rPr>
          <w:rStyle w:val="FootnoteReference"/>
        </w:rPr>
        <w:footnoteReference w:id="14"/>
      </w:r>
      <w:r w:rsidRPr="00901E26">
        <w:t xml:space="preserve"> my colleagues and I argue that </w:t>
      </w:r>
      <w:r w:rsidR="00CD5031" w:rsidRPr="00F97688">
        <w:t xml:space="preserve">the Diamond and </w:t>
      </w:r>
      <w:proofErr w:type="spellStart"/>
      <w:r w:rsidR="00CD5031" w:rsidRPr="00F97688">
        <w:t>Saez</w:t>
      </w:r>
      <w:proofErr w:type="spellEnd"/>
      <w:r w:rsidR="00CD5031" w:rsidRPr="00F97688">
        <w:t xml:space="preserve"> solution to inequality</w:t>
      </w:r>
      <w:r w:rsidR="00CD5031">
        <w:rPr>
          <w:rStyle w:val="FootnoteReference"/>
        </w:rPr>
        <w:footnoteReference w:id="15"/>
      </w:r>
      <w:r w:rsidR="00CD5031">
        <w:t xml:space="preserve"> </w:t>
      </w:r>
      <w:r w:rsidRPr="00901E26">
        <w:t>—a marginal tax rate of 73 percent —is based on unrealistic assumptions relating to how individuals would respond to high tax rates. Their modeling of the optimal rate assumes a “more equality is better” social welfare function and assigns no social value to the marginal dollar of consumption for the rich. Most importantly, it ignores the long-run behavioral responses and consequences of having marginal tax rates that are over 50 percent. In the article, we show that while these assumptions work well in theoretical models that are aimed at catering to an audience of professional economists, these should not be used as the basis of real world public policy formulation.</w:t>
      </w:r>
    </w:p>
    <w:p w:rsidR="0044692B" w:rsidRPr="00901E26" w:rsidRDefault="0044692B" w:rsidP="00792F39">
      <w:pPr>
        <w:pStyle w:val="NormalWeb"/>
        <w:spacing w:before="0" w:beforeAutospacing="0" w:after="0" w:afterAutospacing="0" w:line="360" w:lineRule="auto"/>
        <w:ind w:firstLine="360"/>
        <w:jc w:val="both"/>
      </w:pPr>
      <w:r w:rsidRPr="00901E26">
        <w:t xml:space="preserve">Whether the explanation for improvement in living standards lies in redistribution policies and the growth of the safety net, or technological improvements that allowed prices of electronics and other durable goods to drop, or real improvements in productivity and wages, the bottom line is: people are better off today than they were twenty or thirty years ago. Households are consuming more and the typical low income household possesses many more appliances and gadgets that have traditionally been considered the preserve of the rich, than at any time in history. </w:t>
      </w:r>
    </w:p>
    <w:p w:rsidR="00CB037F" w:rsidRPr="00901E26" w:rsidRDefault="00CB037F" w:rsidP="00792F39">
      <w:pPr>
        <w:pStyle w:val="NormalWeb"/>
        <w:spacing w:before="0" w:beforeAutospacing="0" w:after="0" w:afterAutospacing="0" w:line="360" w:lineRule="auto"/>
        <w:ind w:firstLine="360"/>
        <w:jc w:val="both"/>
      </w:pPr>
      <w:r w:rsidRPr="00901E26">
        <w:t>Hence consumption data paint a strikingly different picture of household welfare than income inequality studies would suggest.</w:t>
      </w:r>
      <w:r w:rsidR="004447E2" w:rsidRPr="00901E26">
        <w:t xml:space="preserve"> Again, the studies in this section do not attempt to suggest that poverty does not exist-only that the magnitude of the problem may be overstated if we only focus on income data.</w:t>
      </w:r>
    </w:p>
    <w:p w:rsidR="0044692B" w:rsidRPr="00901E26" w:rsidRDefault="0044692B" w:rsidP="00901E26">
      <w:pPr>
        <w:spacing w:line="360" w:lineRule="auto"/>
        <w:ind w:firstLine="360"/>
        <w:jc w:val="center"/>
        <w:rPr>
          <w:rFonts w:ascii="Times New Roman" w:hAnsi="Times New Roman" w:cs="Times New Roman"/>
          <w:sz w:val="24"/>
          <w:szCs w:val="24"/>
        </w:rPr>
      </w:pPr>
    </w:p>
    <w:p w:rsidR="0044692B" w:rsidRPr="00901E26" w:rsidRDefault="0044692B" w:rsidP="00901E26">
      <w:pPr>
        <w:spacing w:line="360" w:lineRule="auto"/>
        <w:ind w:firstLine="360"/>
        <w:jc w:val="center"/>
        <w:rPr>
          <w:rFonts w:ascii="Times New Roman" w:hAnsi="Times New Roman" w:cs="Times New Roman"/>
          <w:sz w:val="24"/>
          <w:szCs w:val="24"/>
        </w:rPr>
      </w:pPr>
      <w:r w:rsidRPr="00901E26">
        <w:rPr>
          <w:rFonts w:ascii="Times New Roman" w:hAnsi="Times New Roman" w:cs="Times New Roman"/>
          <w:sz w:val="24"/>
          <w:szCs w:val="24"/>
        </w:rPr>
        <w:t xml:space="preserve">IV. Income Mobility </w:t>
      </w:r>
    </w:p>
    <w:p w:rsidR="004447E2" w:rsidRPr="00901E26" w:rsidRDefault="004447E2" w:rsidP="00901E26">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Another issue that frequently comes up in discussions relating to income inequality is income mobility. The idea is that t</w:t>
      </w:r>
      <w:r w:rsidR="00281D25" w:rsidRPr="00901E26">
        <w:rPr>
          <w:rFonts w:ascii="Times New Roman" w:hAnsi="Times New Roman" w:cs="Times New Roman"/>
          <w:sz w:val="24"/>
          <w:szCs w:val="24"/>
        </w:rPr>
        <w:t xml:space="preserve">he problems associated with income inequality may be partly offset if there is sufficient economic mobility. </w:t>
      </w:r>
      <w:r w:rsidR="00A37D87" w:rsidRPr="00901E26">
        <w:rPr>
          <w:rFonts w:ascii="Times New Roman" w:hAnsi="Times New Roman" w:cs="Times New Roman"/>
          <w:sz w:val="24"/>
          <w:szCs w:val="24"/>
        </w:rPr>
        <w:t>In a 2011 public opinion poll, the</w:t>
      </w:r>
      <w:r w:rsidR="003A3EB9" w:rsidRPr="00901E26">
        <w:rPr>
          <w:rFonts w:ascii="Times New Roman" w:hAnsi="Times New Roman" w:cs="Times New Roman"/>
          <w:sz w:val="24"/>
          <w:szCs w:val="24"/>
        </w:rPr>
        <w:t xml:space="preserve"> Pew Charitable Trusts</w:t>
      </w:r>
      <w:r w:rsidR="00A37D87" w:rsidRPr="00901E26">
        <w:rPr>
          <w:rFonts w:ascii="Times New Roman" w:hAnsi="Times New Roman" w:cs="Times New Roman"/>
          <w:sz w:val="24"/>
          <w:szCs w:val="24"/>
        </w:rPr>
        <w:t xml:space="preserve"> found that 8</w:t>
      </w:r>
      <w:r w:rsidR="003A3EB9" w:rsidRPr="00901E26">
        <w:rPr>
          <w:rFonts w:ascii="Times New Roman" w:hAnsi="Times New Roman" w:cs="Times New Roman"/>
          <w:sz w:val="24"/>
          <w:szCs w:val="24"/>
        </w:rPr>
        <w:t xml:space="preserve">0 percent of Americans </w:t>
      </w:r>
      <w:r w:rsidR="00A37D87" w:rsidRPr="00901E26">
        <w:rPr>
          <w:rFonts w:ascii="Times New Roman" w:hAnsi="Times New Roman" w:cs="Times New Roman"/>
          <w:sz w:val="24"/>
          <w:szCs w:val="24"/>
        </w:rPr>
        <w:t xml:space="preserve">identified factors such as hard work, personal ambition and access to education as key drivers of upward mobility. </w:t>
      </w:r>
      <w:r w:rsidRPr="00901E26">
        <w:rPr>
          <w:rFonts w:ascii="Times New Roman" w:hAnsi="Times New Roman" w:cs="Times New Roman"/>
          <w:sz w:val="24"/>
          <w:szCs w:val="24"/>
        </w:rPr>
        <w:t>However, most studies suggest that economic mobility i.e. the movement of individuals from lower to higher quintiles is fairly low.</w:t>
      </w:r>
    </w:p>
    <w:p w:rsidR="00FB1E3E" w:rsidRPr="00901E26" w:rsidRDefault="00281D25" w:rsidP="00DF66AA">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Bradbury and Katz (2002) study transitions between income quintiles across successive one</w:t>
      </w:r>
      <w:r w:rsidRPr="00901E26">
        <w:rPr>
          <w:rFonts w:ascii="Cambria Math" w:hAnsi="Cambria Math" w:cs="Times New Roman"/>
          <w:sz w:val="24"/>
          <w:szCs w:val="24"/>
        </w:rPr>
        <w:t>‐</w:t>
      </w:r>
      <w:r w:rsidRPr="00901E26">
        <w:rPr>
          <w:rFonts w:ascii="Times New Roman" w:hAnsi="Times New Roman" w:cs="Times New Roman"/>
          <w:sz w:val="24"/>
          <w:szCs w:val="24"/>
        </w:rPr>
        <w:t>decade intervals and find that a worker in the top or bottom 20 percent of the income distribution has a 50 percent chance of remaining in that quintile one decade la</w:t>
      </w:r>
      <w:r w:rsidR="004447E2" w:rsidRPr="00901E26">
        <w:rPr>
          <w:rFonts w:ascii="Times New Roman" w:hAnsi="Times New Roman" w:cs="Times New Roman"/>
          <w:sz w:val="24"/>
          <w:szCs w:val="24"/>
        </w:rPr>
        <w:t>te</w:t>
      </w:r>
      <w:r w:rsidR="00302106" w:rsidRPr="00901E26">
        <w:rPr>
          <w:rFonts w:ascii="Times New Roman" w:hAnsi="Times New Roman" w:cs="Times New Roman"/>
          <w:sz w:val="24"/>
          <w:szCs w:val="24"/>
        </w:rPr>
        <w:t>r.</w:t>
      </w:r>
      <w:r w:rsidR="00A52795">
        <w:rPr>
          <w:rStyle w:val="FootnoteReference"/>
          <w:rFonts w:ascii="Times New Roman" w:hAnsi="Times New Roman" w:cs="Times New Roman"/>
          <w:sz w:val="24"/>
          <w:szCs w:val="24"/>
        </w:rPr>
        <w:footnoteReference w:id="16"/>
      </w:r>
      <w:r w:rsidR="00302106" w:rsidRPr="00901E26">
        <w:rPr>
          <w:rFonts w:ascii="Times New Roman" w:hAnsi="Times New Roman" w:cs="Times New Roman"/>
          <w:sz w:val="24"/>
          <w:szCs w:val="24"/>
        </w:rPr>
        <w:t> </w:t>
      </w:r>
      <w:r w:rsidR="00FB1E3E" w:rsidRPr="00901E26">
        <w:rPr>
          <w:rFonts w:ascii="Times New Roman" w:hAnsi="Times New Roman" w:cs="Times New Roman"/>
          <w:sz w:val="24"/>
          <w:szCs w:val="24"/>
        </w:rPr>
        <w:t>On the other hand, there is only a 3 percent chance somebody will move from the bottom to the top or fro</w:t>
      </w:r>
      <w:r w:rsidR="002E124D">
        <w:rPr>
          <w:rFonts w:ascii="Times New Roman" w:hAnsi="Times New Roman" w:cs="Times New Roman"/>
          <w:sz w:val="24"/>
          <w:szCs w:val="24"/>
        </w:rPr>
        <w:t>m the top to the bottom. In con</w:t>
      </w:r>
      <w:r w:rsidR="00FB1E3E" w:rsidRPr="00901E26">
        <w:rPr>
          <w:rFonts w:ascii="Times New Roman" w:hAnsi="Times New Roman" w:cs="Times New Roman"/>
          <w:sz w:val="24"/>
          <w:szCs w:val="24"/>
        </w:rPr>
        <w:t>trast, they find a large amoun</w:t>
      </w:r>
      <w:r w:rsidR="002E124D">
        <w:rPr>
          <w:rFonts w:ascii="Times New Roman" w:hAnsi="Times New Roman" w:cs="Times New Roman"/>
          <w:sz w:val="24"/>
          <w:szCs w:val="24"/>
        </w:rPr>
        <w:t>t of churning among the middle three</w:t>
      </w:r>
      <w:r w:rsidR="00FB1E3E" w:rsidRPr="00901E26">
        <w:rPr>
          <w:rFonts w:ascii="Times New Roman" w:hAnsi="Times New Roman" w:cs="Times New Roman"/>
          <w:sz w:val="24"/>
          <w:szCs w:val="24"/>
        </w:rPr>
        <w:t xml:space="preserve"> quintiles, which is to be expected given the year-to-year volatility in earnings. Gottschalk and </w:t>
      </w:r>
      <w:proofErr w:type="spellStart"/>
      <w:r w:rsidR="00FB1E3E" w:rsidRPr="00901E26">
        <w:rPr>
          <w:rFonts w:ascii="Times New Roman" w:hAnsi="Times New Roman" w:cs="Times New Roman"/>
          <w:sz w:val="24"/>
          <w:szCs w:val="24"/>
        </w:rPr>
        <w:t>Danziger</w:t>
      </w:r>
      <w:proofErr w:type="spellEnd"/>
      <w:r w:rsidR="00DF66AA">
        <w:rPr>
          <w:rFonts w:ascii="Times New Roman" w:hAnsi="Times New Roman" w:cs="Times New Roman"/>
          <w:sz w:val="24"/>
          <w:szCs w:val="24"/>
        </w:rPr>
        <w:t xml:space="preserve"> </w:t>
      </w:r>
      <w:r w:rsidR="00FB1E3E" w:rsidRPr="00901E26">
        <w:rPr>
          <w:rFonts w:ascii="Times New Roman" w:hAnsi="Times New Roman" w:cs="Times New Roman"/>
          <w:sz w:val="24"/>
          <w:szCs w:val="24"/>
        </w:rPr>
        <w:t>(1997) find similar results looking at two-decade spans.</w:t>
      </w:r>
      <w:r w:rsidR="002917E4">
        <w:rPr>
          <w:rStyle w:val="FootnoteReference"/>
          <w:rFonts w:ascii="Times New Roman" w:hAnsi="Times New Roman" w:cs="Times New Roman"/>
          <w:sz w:val="24"/>
          <w:szCs w:val="24"/>
        </w:rPr>
        <w:footnoteReference w:id="17"/>
      </w:r>
      <w:r w:rsidR="00FB1E3E" w:rsidRPr="00901E26">
        <w:rPr>
          <w:rFonts w:ascii="Times New Roman" w:hAnsi="Times New Roman" w:cs="Times New Roman"/>
          <w:sz w:val="24"/>
          <w:szCs w:val="24"/>
        </w:rPr>
        <w:t xml:space="preserve"> They also find no upward trend in mobility that would mitigate increased cross-sectional inequality. If anything, they find that mobility has decreased in the last 20 years.</w:t>
      </w:r>
    </w:p>
    <w:p w:rsidR="00DF66AA" w:rsidRDefault="00096380" w:rsidP="00901E26">
      <w:pPr>
        <w:spacing w:after="0" w:line="360" w:lineRule="auto"/>
        <w:ind w:firstLine="720"/>
        <w:jc w:val="both"/>
        <w:rPr>
          <w:rFonts w:ascii="Times New Roman" w:hAnsi="Times New Roman" w:cs="Times New Roman"/>
          <w:sz w:val="24"/>
          <w:szCs w:val="24"/>
        </w:rPr>
      </w:pPr>
      <w:r w:rsidRPr="00901E26">
        <w:rPr>
          <w:rFonts w:ascii="Times New Roman" w:hAnsi="Times New Roman" w:cs="Times New Roman"/>
          <w:sz w:val="24"/>
          <w:szCs w:val="24"/>
        </w:rPr>
        <w:t>Another interesting issue is that of intergenerational mobility.  </w:t>
      </w:r>
      <w:r w:rsidR="00DF66AA">
        <w:rPr>
          <w:rFonts w:ascii="Times New Roman" w:hAnsi="Times New Roman" w:cs="Times New Roman"/>
          <w:sz w:val="24"/>
          <w:szCs w:val="24"/>
        </w:rPr>
        <w:t>In a completely egalitarian society, one might expect there to be little connection between a parent’s income and that of their children. On the other hand, if human capital is transmitted strongly from parents to their children, then income might be persistent across generations. The literature on income mobility generally cannot distinguish these effects. It can only quantify mobility across generations. Solon (1999)</w:t>
      </w:r>
      <w:r w:rsidR="00996854">
        <w:rPr>
          <w:rStyle w:val="FootnoteReference"/>
          <w:rFonts w:ascii="Times New Roman" w:hAnsi="Times New Roman" w:cs="Times New Roman"/>
          <w:sz w:val="24"/>
          <w:szCs w:val="24"/>
        </w:rPr>
        <w:footnoteReference w:id="18"/>
      </w:r>
      <w:r w:rsidR="00DF66AA">
        <w:rPr>
          <w:rFonts w:ascii="Times New Roman" w:hAnsi="Times New Roman" w:cs="Times New Roman"/>
          <w:sz w:val="24"/>
          <w:szCs w:val="24"/>
        </w:rPr>
        <w:t xml:space="preserve"> and Bowles and </w:t>
      </w:r>
      <w:proofErr w:type="spellStart"/>
      <w:r w:rsidR="00DF66AA">
        <w:rPr>
          <w:rFonts w:ascii="Times New Roman" w:hAnsi="Times New Roman" w:cs="Times New Roman"/>
          <w:sz w:val="24"/>
          <w:szCs w:val="24"/>
        </w:rPr>
        <w:t>Gintis</w:t>
      </w:r>
      <w:proofErr w:type="spellEnd"/>
      <w:r w:rsidR="00DF66AA">
        <w:rPr>
          <w:rFonts w:ascii="Times New Roman" w:hAnsi="Times New Roman" w:cs="Times New Roman"/>
          <w:sz w:val="24"/>
          <w:szCs w:val="24"/>
        </w:rPr>
        <w:t xml:space="preserve"> (2002)</w:t>
      </w:r>
      <w:r w:rsidR="00996854">
        <w:rPr>
          <w:rStyle w:val="FootnoteReference"/>
          <w:rFonts w:ascii="Times New Roman" w:hAnsi="Times New Roman" w:cs="Times New Roman"/>
          <w:sz w:val="24"/>
          <w:szCs w:val="24"/>
        </w:rPr>
        <w:footnoteReference w:id="19"/>
      </w:r>
      <w:r w:rsidR="00DF66AA">
        <w:rPr>
          <w:rFonts w:ascii="Times New Roman" w:hAnsi="Times New Roman" w:cs="Times New Roman"/>
          <w:sz w:val="24"/>
          <w:szCs w:val="24"/>
        </w:rPr>
        <w:t xml:space="preserve"> provide extensive reviews of the literature on intergenerational mobility. Hertz</w:t>
      </w:r>
      <w:r w:rsidR="00996854">
        <w:rPr>
          <w:rFonts w:ascii="Times New Roman" w:hAnsi="Times New Roman" w:cs="Times New Roman" w:hint="eastAsia"/>
          <w:sz w:val="24"/>
          <w:szCs w:val="24"/>
          <w:lang w:eastAsia="zh-CN"/>
        </w:rPr>
        <w:t xml:space="preserve"> </w:t>
      </w:r>
      <w:r w:rsidR="00DF66AA">
        <w:rPr>
          <w:rFonts w:ascii="Times New Roman" w:hAnsi="Times New Roman" w:cs="Times New Roman"/>
          <w:sz w:val="24"/>
          <w:szCs w:val="24"/>
        </w:rPr>
        <w:t>(2005) studies mobility among income quintiles across generations.</w:t>
      </w:r>
      <w:r w:rsidR="00EF049C">
        <w:rPr>
          <w:rStyle w:val="FootnoteReference"/>
          <w:rFonts w:ascii="Times New Roman" w:hAnsi="Times New Roman" w:cs="Times New Roman"/>
          <w:sz w:val="24"/>
          <w:szCs w:val="24"/>
        </w:rPr>
        <w:footnoteReference w:id="20"/>
      </w:r>
      <w:r w:rsidR="00DF66AA">
        <w:rPr>
          <w:rFonts w:ascii="Times New Roman" w:hAnsi="Times New Roman" w:cs="Times New Roman"/>
          <w:sz w:val="24"/>
          <w:szCs w:val="24"/>
        </w:rPr>
        <w:t xml:space="preserve"> He confirms the results from Solon and Bowles and </w:t>
      </w:r>
      <w:proofErr w:type="spellStart"/>
      <w:r w:rsidR="00DF66AA">
        <w:rPr>
          <w:rFonts w:ascii="Times New Roman" w:hAnsi="Times New Roman" w:cs="Times New Roman"/>
          <w:sz w:val="24"/>
          <w:szCs w:val="24"/>
        </w:rPr>
        <w:t>Gintis</w:t>
      </w:r>
      <w:proofErr w:type="spellEnd"/>
      <w:r w:rsidR="00DF66AA">
        <w:rPr>
          <w:rFonts w:ascii="Times New Roman" w:hAnsi="Times New Roman" w:cs="Times New Roman"/>
          <w:sz w:val="24"/>
          <w:szCs w:val="24"/>
        </w:rPr>
        <w:t xml:space="preserve"> that the intergenerational correlation in income is approximately 0.4. Moreover, he finds that this result is largely driven by black families. In general, the literature suggests that a person who begins life with a low income is likely to stay that way, and this has changed little over the years.</w:t>
      </w:r>
    </w:p>
    <w:p w:rsidR="003A3EB9" w:rsidRPr="00901E26" w:rsidRDefault="000D5621" w:rsidP="00901E26">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More recent research for the Pew Foundation suggests that</w:t>
      </w:r>
      <w:r w:rsidR="003A3EB9" w:rsidRPr="00901E26">
        <w:rPr>
          <w:rFonts w:ascii="Times New Roman" w:hAnsi="Times New Roman" w:cs="Times New Roman"/>
          <w:sz w:val="24"/>
          <w:szCs w:val="24"/>
        </w:rPr>
        <w:t xml:space="preserve"> the truth is that 70 percent of Americans </w:t>
      </w:r>
      <w:proofErr w:type="gramStart"/>
      <w:r w:rsidR="003A3EB9" w:rsidRPr="00901E26">
        <w:rPr>
          <w:rFonts w:ascii="Times New Roman" w:hAnsi="Times New Roman" w:cs="Times New Roman"/>
          <w:sz w:val="24"/>
          <w:szCs w:val="24"/>
        </w:rPr>
        <w:t>raised</w:t>
      </w:r>
      <w:proofErr w:type="gramEnd"/>
      <w:r w:rsidR="003A3EB9" w:rsidRPr="00901E26">
        <w:rPr>
          <w:rFonts w:ascii="Times New Roman" w:hAnsi="Times New Roman" w:cs="Times New Roman"/>
          <w:sz w:val="24"/>
          <w:szCs w:val="24"/>
        </w:rPr>
        <w:t xml:space="preserve"> in the bottom two quintiles will never make it even to the middle quintile.</w:t>
      </w:r>
      <w:r w:rsidR="00991F2F" w:rsidRPr="00901E26">
        <w:rPr>
          <w:rStyle w:val="FootnoteReference"/>
          <w:rFonts w:ascii="Times New Roman" w:hAnsi="Times New Roman" w:cs="Times New Roman"/>
          <w:sz w:val="24"/>
          <w:szCs w:val="24"/>
        </w:rPr>
        <w:footnoteReference w:id="21"/>
      </w:r>
      <w:r w:rsidR="003A3EB9" w:rsidRPr="00901E26">
        <w:rPr>
          <w:rFonts w:ascii="Times New Roman" w:hAnsi="Times New Roman" w:cs="Times New Roman"/>
          <w:sz w:val="24"/>
          <w:szCs w:val="24"/>
        </w:rPr>
        <w:t xml:space="preserve"> However, there are certain factors that do enable people at the bottom to be upwardly mobile. </w:t>
      </w:r>
      <w:r w:rsidR="00991F2F" w:rsidRPr="00901E26">
        <w:rPr>
          <w:rFonts w:ascii="Times New Roman" w:hAnsi="Times New Roman" w:cs="Times New Roman"/>
          <w:sz w:val="24"/>
          <w:szCs w:val="24"/>
        </w:rPr>
        <w:t>The first is human capital. College-graduates, dual-earner families and people who did not experience unemployment, were more likely to move up. In particular, 86 percent of college graduates, 84 percent of dual-earner families and 64 percent of people who were continuously employed left the bottom income quintile. By contrast, only 55 percent of non-college graduates, 49 percent of single earner families and 34 percent of people who experienced unemployment moved up from the bottom quintile.</w:t>
      </w:r>
    </w:p>
    <w:p w:rsidR="00991F2F" w:rsidRPr="00901E26" w:rsidRDefault="00991F2F" w:rsidP="00901E26">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Another important mobility factor highlighted by the study is higher savings, wealth and home equity. Those who left the bottom of the income ladder had six times higher median liquid savings, 8 times higher median wealth and 21 times higher median home equity than those who remained stuck at the bottom. This suggests that families with savings, for example, may be better able to make human capital investments that promote economic mobility, such as higher education or job training, and those experiencing income gains may have more flexibility to save and build wealth, which in turn can support economic security. </w:t>
      </w:r>
    </w:p>
    <w:p w:rsidR="00991F2F" w:rsidRPr="00901E26" w:rsidRDefault="00991F2F" w:rsidP="00901E26">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This is true across generations as well. Pew research also shows that parental savings can have a significant impact on upward mobility. The parents of those who moved up from the bottom quintile had almost </w:t>
      </w:r>
      <w:r w:rsidR="00A31832" w:rsidRPr="00901E26">
        <w:rPr>
          <w:rFonts w:ascii="Times New Roman" w:hAnsi="Times New Roman" w:cs="Times New Roman"/>
          <w:sz w:val="24"/>
          <w:szCs w:val="24"/>
        </w:rPr>
        <w:t>doubled</w:t>
      </w:r>
      <w:r w:rsidRPr="00901E26">
        <w:rPr>
          <w:rFonts w:ascii="Times New Roman" w:hAnsi="Times New Roman" w:cs="Times New Roman"/>
          <w:sz w:val="24"/>
          <w:szCs w:val="24"/>
        </w:rPr>
        <w:t xml:space="preserve"> the median wealth of the parents of those who remained at the bottom. </w:t>
      </w:r>
    </w:p>
    <w:p w:rsidR="003A3EB9" w:rsidRPr="00901E26" w:rsidRDefault="00A37D87" w:rsidP="00901E26">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Another factor highlighted by the Pew study is the importance of location.</w:t>
      </w:r>
      <w:r w:rsidRPr="00901E26">
        <w:rPr>
          <w:rStyle w:val="FootnoteReference"/>
          <w:rFonts w:ascii="Times New Roman" w:hAnsi="Times New Roman" w:cs="Times New Roman"/>
          <w:sz w:val="24"/>
          <w:szCs w:val="24"/>
        </w:rPr>
        <w:footnoteReference w:id="22"/>
      </w:r>
      <w:r w:rsidRPr="00901E26">
        <w:rPr>
          <w:rFonts w:ascii="Times New Roman" w:hAnsi="Times New Roman" w:cs="Times New Roman"/>
          <w:sz w:val="24"/>
          <w:szCs w:val="24"/>
        </w:rPr>
        <w:t xml:space="preserve"> </w:t>
      </w:r>
      <w:r w:rsidR="001308FA" w:rsidRPr="00901E26">
        <w:rPr>
          <w:rFonts w:ascii="Times New Roman" w:hAnsi="Times New Roman" w:cs="Times New Roman"/>
          <w:sz w:val="24"/>
          <w:szCs w:val="24"/>
        </w:rPr>
        <w:t>In many American communities, families with relatively high incomes tend to live in more affluent neighborhoods while those with relatively low incomes tend to live in less affluent neighborhoods. Across America there is substantial variation in the degree to which the high and low income neighborhoods are segregated from each other. In the New York Metro area for example, there is a much higher degree of segregation resulting in concentrated pockets of wealth and poverty, relative to Bedford, Ma which has fewer neighborhoods of concentrated wealth or poverty. Between 1970 and 1990, there has been steady growth in the degree of neighborhood segregation in a majority of metropolitan areas. The Pew study finds that the more economically segregated a metro area is, the less economically mobile its residents are. This is a new finding in the area of economic mobility and this analysis is one of the first empirical tests of the theory that, in highly unequal areas, there is additional mechanism aside from family background or resources, by which economic advantage and disadvantage can be transmitted from parents to children, leading to lower overall levels of economic mobility. For example, Boston has lower economic segregation relative to other metro areas and higher economic mobility, while New York has high segregation and low mobility.</w:t>
      </w:r>
    </w:p>
    <w:p w:rsidR="003A3EB9" w:rsidRPr="00901E26" w:rsidRDefault="001308FA" w:rsidP="00901E26">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The findings of this research on economic mobility</w:t>
      </w:r>
      <w:r w:rsidR="00582C91" w:rsidRPr="00901E26">
        <w:rPr>
          <w:rFonts w:ascii="Times New Roman" w:hAnsi="Times New Roman" w:cs="Times New Roman"/>
          <w:sz w:val="24"/>
          <w:szCs w:val="24"/>
        </w:rPr>
        <w:t xml:space="preserve"> as well as our earlier discussion on income inequality</w:t>
      </w:r>
      <w:r w:rsidRPr="00901E26">
        <w:rPr>
          <w:rFonts w:ascii="Times New Roman" w:hAnsi="Times New Roman" w:cs="Times New Roman"/>
          <w:sz w:val="24"/>
          <w:szCs w:val="24"/>
        </w:rPr>
        <w:t xml:space="preserve"> have important policy implications, which we discuss in the next section.</w:t>
      </w:r>
    </w:p>
    <w:p w:rsidR="003A3EB9" w:rsidRPr="00901E26" w:rsidRDefault="003A3EB9" w:rsidP="00901E26">
      <w:pPr>
        <w:spacing w:line="360" w:lineRule="auto"/>
        <w:ind w:firstLine="360"/>
        <w:jc w:val="both"/>
        <w:rPr>
          <w:rFonts w:ascii="Times New Roman" w:hAnsi="Times New Roman" w:cs="Times New Roman"/>
          <w:sz w:val="24"/>
          <w:szCs w:val="24"/>
        </w:rPr>
      </w:pPr>
    </w:p>
    <w:p w:rsidR="001308FA" w:rsidRPr="00901E26" w:rsidRDefault="001308FA" w:rsidP="00901E26">
      <w:pPr>
        <w:spacing w:line="360" w:lineRule="auto"/>
        <w:ind w:firstLine="360"/>
        <w:jc w:val="center"/>
        <w:rPr>
          <w:rFonts w:ascii="Times New Roman" w:hAnsi="Times New Roman" w:cs="Times New Roman"/>
          <w:sz w:val="24"/>
          <w:szCs w:val="24"/>
        </w:rPr>
      </w:pPr>
      <w:r w:rsidRPr="00901E26">
        <w:rPr>
          <w:rFonts w:ascii="Times New Roman" w:hAnsi="Times New Roman" w:cs="Times New Roman"/>
          <w:sz w:val="24"/>
          <w:szCs w:val="24"/>
        </w:rPr>
        <w:t>V. Policy Suggestions</w:t>
      </w:r>
    </w:p>
    <w:p w:rsidR="00DF66AA" w:rsidRDefault="008A33A9" w:rsidP="00DF66AA">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Rising income inequality has been attributed to a number of factors. In a recent review of the papers on this topic, Dew-Becker and Gordon</w:t>
      </w:r>
      <w:r w:rsidR="00DE742A">
        <w:rPr>
          <w:rFonts w:ascii="Times New Roman" w:hAnsi="Times New Roman" w:cs="Times New Roman"/>
          <w:sz w:val="24"/>
          <w:szCs w:val="24"/>
        </w:rPr>
        <w:t xml:space="preserve"> (2008)</w:t>
      </w:r>
      <w:r w:rsidRPr="00901E26">
        <w:rPr>
          <w:rFonts w:ascii="Times New Roman" w:hAnsi="Times New Roman" w:cs="Times New Roman"/>
          <w:sz w:val="24"/>
          <w:szCs w:val="24"/>
        </w:rPr>
        <w:t xml:space="preserve"> ascribe a relatively small role to the decline of unionization</w:t>
      </w:r>
      <w:r w:rsidR="009A3923" w:rsidRPr="00901E26">
        <w:rPr>
          <w:rFonts w:ascii="Times New Roman" w:hAnsi="Times New Roman" w:cs="Times New Roman"/>
          <w:sz w:val="24"/>
          <w:szCs w:val="24"/>
        </w:rPr>
        <w:t xml:space="preserve"> in the increase in inequality starting in the 1970s. This is particularly true for females.</w:t>
      </w:r>
      <w:r w:rsidR="009A3923" w:rsidRPr="00901E26">
        <w:rPr>
          <w:rStyle w:val="FootnoteReference"/>
          <w:rFonts w:ascii="Times New Roman" w:hAnsi="Times New Roman" w:cs="Times New Roman"/>
          <w:sz w:val="24"/>
          <w:szCs w:val="24"/>
        </w:rPr>
        <w:footnoteReference w:id="23"/>
      </w:r>
      <w:r w:rsidR="009A3923" w:rsidRPr="00901E26">
        <w:rPr>
          <w:rFonts w:ascii="Times New Roman" w:hAnsi="Times New Roman" w:cs="Times New Roman"/>
          <w:sz w:val="24"/>
          <w:szCs w:val="24"/>
        </w:rPr>
        <w:t xml:space="preserve"> </w:t>
      </w:r>
      <w:r w:rsidR="00B34DED" w:rsidRPr="00901E26">
        <w:rPr>
          <w:rFonts w:ascii="Times New Roman" w:hAnsi="Times New Roman" w:cs="Times New Roman"/>
          <w:sz w:val="24"/>
          <w:szCs w:val="24"/>
        </w:rPr>
        <w:t>They similarly ascribe a small role to trade and immigration. While minimum wages have often been offered as the single biggest explanation for rising inequality, the authors contend that this is unlikely to be true. While there is some correlation between the real minimum wages for women and income inequality for women, there is hardly any response in this inequality measure to an increase in the minimum wage over the period 1989 to 1997 and its subsequent decline in 2005.</w:t>
      </w:r>
      <w:r w:rsidR="00A8578A" w:rsidRPr="00901E26">
        <w:rPr>
          <w:rFonts w:ascii="Times New Roman" w:hAnsi="Times New Roman" w:cs="Times New Roman"/>
          <w:sz w:val="24"/>
          <w:szCs w:val="24"/>
        </w:rPr>
        <w:t xml:space="preserve"> Further minimum wage changes are hard to disentangle from other institutional factors such as unionization.</w:t>
      </w:r>
    </w:p>
    <w:p w:rsidR="001308FA" w:rsidRPr="00901E26" w:rsidRDefault="00507C62" w:rsidP="00DF66AA">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The authors do find an important role for </w:t>
      </w:r>
      <w:r w:rsidR="00DF2B69" w:rsidRPr="00901E26">
        <w:rPr>
          <w:rFonts w:ascii="Times New Roman" w:hAnsi="Times New Roman" w:cs="Times New Roman"/>
          <w:sz w:val="24"/>
          <w:szCs w:val="24"/>
        </w:rPr>
        <w:t xml:space="preserve">skill-biased technical change. In other words, the idea is that with the increasing use of computers and computing technologies in the workplace, there was an increasing wage premium associated with college graduates who were able to use these technologies easily. This widened income inequality </w:t>
      </w:r>
      <w:r w:rsidR="00FB64FF" w:rsidRPr="00901E26">
        <w:rPr>
          <w:rFonts w:ascii="Times New Roman" w:hAnsi="Times New Roman" w:cs="Times New Roman"/>
          <w:sz w:val="24"/>
          <w:szCs w:val="24"/>
        </w:rPr>
        <w:t>starting in the 198</w:t>
      </w:r>
      <w:r w:rsidR="00DF2B69" w:rsidRPr="00901E26">
        <w:rPr>
          <w:rFonts w:ascii="Times New Roman" w:hAnsi="Times New Roman" w:cs="Times New Roman"/>
          <w:sz w:val="24"/>
          <w:szCs w:val="24"/>
        </w:rPr>
        <w:t>0s</w:t>
      </w:r>
      <w:r w:rsidR="00FB64FF" w:rsidRPr="00901E26">
        <w:rPr>
          <w:rFonts w:ascii="Times New Roman" w:hAnsi="Times New Roman" w:cs="Times New Roman"/>
          <w:sz w:val="24"/>
          <w:szCs w:val="24"/>
        </w:rPr>
        <w:t xml:space="preserve"> (Claudia </w:t>
      </w:r>
      <w:proofErr w:type="spellStart"/>
      <w:r w:rsidR="00FB64FF" w:rsidRPr="00901E26">
        <w:rPr>
          <w:rFonts w:ascii="Times New Roman" w:hAnsi="Times New Roman" w:cs="Times New Roman"/>
          <w:sz w:val="24"/>
          <w:szCs w:val="24"/>
        </w:rPr>
        <w:t>Goldin</w:t>
      </w:r>
      <w:proofErr w:type="spellEnd"/>
      <w:r w:rsidR="00FB64FF" w:rsidRPr="00901E26">
        <w:rPr>
          <w:rFonts w:ascii="Times New Roman" w:hAnsi="Times New Roman" w:cs="Times New Roman"/>
          <w:sz w:val="24"/>
          <w:szCs w:val="24"/>
        </w:rPr>
        <w:t xml:space="preserve"> and Lawrence Katz, 2008) as the demand for skilled college graduates increased.</w:t>
      </w:r>
      <w:r w:rsidR="006F20BA">
        <w:rPr>
          <w:rStyle w:val="FootnoteReference"/>
          <w:rFonts w:ascii="Times New Roman" w:hAnsi="Times New Roman" w:cs="Times New Roman"/>
          <w:sz w:val="24"/>
          <w:szCs w:val="24"/>
        </w:rPr>
        <w:footnoteReference w:id="24"/>
      </w:r>
      <w:r w:rsidR="00FB64FF" w:rsidRPr="00901E26">
        <w:rPr>
          <w:rFonts w:ascii="Times New Roman" w:hAnsi="Times New Roman" w:cs="Times New Roman"/>
          <w:sz w:val="24"/>
          <w:szCs w:val="24"/>
        </w:rPr>
        <w:t xml:space="preserve"> Therefore, o</w:t>
      </w:r>
      <w:r w:rsidR="00DF2B69" w:rsidRPr="00901E26">
        <w:rPr>
          <w:rFonts w:ascii="Times New Roman" w:hAnsi="Times New Roman" w:cs="Times New Roman"/>
          <w:sz w:val="24"/>
          <w:szCs w:val="24"/>
        </w:rPr>
        <w:t xml:space="preserve">ne policy implication from this is that we need to invest more in </w:t>
      </w:r>
      <w:r w:rsidR="00FB64FF" w:rsidRPr="00901E26">
        <w:rPr>
          <w:rFonts w:ascii="Times New Roman" w:hAnsi="Times New Roman" w:cs="Times New Roman"/>
          <w:sz w:val="24"/>
          <w:szCs w:val="24"/>
        </w:rPr>
        <w:t xml:space="preserve">college education, </w:t>
      </w:r>
      <w:r w:rsidR="00DF2B69" w:rsidRPr="00901E26">
        <w:rPr>
          <w:rFonts w:ascii="Times New Roman" w:hAnsi="Times New Roman" w:cs="Times New Roman"/>
          <w:sz w:val="24"/>
          <w:szCs w:val="24"/>
        </w:rPr>
        <w:t>skills training and vocational programs for people who lack these skills and therefore are unable to find jobs.</w:t>
      </w:r>
    </w:p>
    <w:p w:rsidR="00DF2B69" w:rsidRPr="00901E26" w:rsidRDefault="00F97EDA" w:rsidP="00DF66AA">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Access to high quality education and schools is </w:t>
      </w:r>
      <w:r w:rsidR="00FB64FF" w:rsidRPr="00901E26">
        <w:rPr>
          <w:rFonts w:ascii="Times New Roman" w:hAnsi="Times New Roman" w:cs="Times New Roman"/>
          <w:sz w:val="24"/>
          <w:szCs w:val="24"/>
        </w:rPr>
        <w:t>extremely</w:t>
      </w:r>
      <w:r w:rsidRPr="00901E26">
        <w:rPr>
          <w:rFonts w:ascii="Times New Roman" w:hAnsi="Times New Roman" w:cs="Times New Roman"/>
          <w:sz w:val="24"/>
          <w:szCs w:val="24"/>
        </w:rPr>
        <w:t xml:space="preserve"> important as an investment into children’s futures. </w:t>
      </w:r>
      <w:r w:rsidR="00547B63" w:rsidRPr="00901E26">
        <w:rPr>
          <w:rFonts w:ascii="Times New Roman" w:hAnsi="Times New Roman" w:cs="Times New Roman"/>
          <w:sz w:val="24"/>
          <w:szCs w:val="24"/>
        </w:rPr>
        <w:t>Poor quality schooling can limit an individual’s earning ability.</w:t>
      </w:r>
      <w:r w:rsidR="00E8373E" w:rsidRPr="00901E26">
        <w:rPr>
          <w:rStyle w:val="FootnoteReference"/>
          <w:rFonts w:ascii="Times New Roman" w:hAnsi="Times New Roman" w:cs="Times New Roman"/>
          <w:sz w:val="24"/>
          <w:szCs w:val="24"/>
        </w:rPr>
        <w:footnoteReference w:id="25"/>
      </w:r>
      <w:r w:rsidR="00547B63" w:rsidRPr="00901E26">
        <w:rPr>
          <w:rFonts w:ascii="Times New Roman" w:hAnsi="Times New Roman" w:cs="Times New Roman"/>
          <w:sz w:val="24"/>
          <w:szCs w:val="24"/>
        </w:rPr>
        <w:t xml:space="preserve"> Research by some economists has shown that the quality of local public education is improved in areas where there is more competition due to a large number of school districts or a greater availability of nonpublic education.</w:t>
      </w:r>
    </w:p>
    <w:p w:rsidR="00FB64FF" w:rsidRPr="00901E26" w:rsidRDefault="005F0DEF" w:rsidP="00DF66AA">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 xml:space="preserve">The labor market poses serious concerns about the future livelihoods of the millions of unemployed workers, particularly those who are long-term unemployed and those who are fresh out of college hoping to get their first job and pay off their student loans. </w:t>
      </w:r>
      <w:r w:rsidR="00FB64FF" w:rsidRPr="00901E26">
        <w:rPr>
          <w:rFonts w:ascii="Times New Roman" w:hAnsi="Times New Roman" w:cs="Times New Roman"/>
          <w:sz w:val="24"/>
          <w:szCs w:val="24"/>
        </w:rPr>
        <w:t xml:space="preserve">One solution that is being proposed is the extension of unemployment benefits to the long-term unemployed. I believe that the unemployment benefit programs have to be supplemented by skills training and greater help with matching workers to jobs. It is simply not enough to keep extending benefits if at the end of the benefit period, the worker is still unemployed. The goal of any such program should be to train the worker to transition to a new job, rather than to simply provide cash benefits to allow them to meet their basic needs. For a worker who stays unemployed for more than 6 months, the likelihood of finding a job is extremely low and is unlikely to improve without active help. Towards this end, workers who have been long-term unemployed should be provided training and then placed in jobs through wage-subsidy programs that allow some share of the wages to be paid by the employer and the rest to be paid by the unemployment insurance program. This would allow employers to test and see if the match with the prospective employee is a good one, while at the same time it would allow workers to </w:t>
      </w:r>
      <w:r w:rsidR="0022516E" w:rsidRPr="00901E26">
        <w:rPr>
          <w:rFonts w:ascii="Times New Roman" w:hAnsi="Times New Roman" w:cs="Times New Roman"/>
          <w:sz w:val="24"/>
          <w:szCs w:val="24"/>
        </w:rPr>
        <w:t>receive on the job training and gain experience with the likelihood that they will be able to keep the job.</w:t>
      </w:r>
    </w:p>
    <w:p w:rsidR="0022516E" w:rsidRPr="00901E26" w:rsidRDefault="0022516E" w:rsidP="00DF66AA">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Katz (1998) presents some evidence indicating that the T</w:t>
      </w:r>
      <w:r w:rsidR="007922F0" w:rsidRPr="00901E26">
        <w:rPr>
          <w:rFonts w:ascii="Times New Roman" w:hAnsi="Times New Roman" w:cs="Times New Roman"/>
          <w:sz w:val="24"/>
          <w:szCs w:val="24"/>
        </w:rPr>
        <w:t xml:space="preserve">argeted </w:t>
      </w:r>
      <w:r w:rsidRPr="00901E26">
        <w:rPr>
          <w:rFonts w:ascii="Times New Roman" w:hAnsi="Times New Roman" w:cs="Times New Roman"/>
          <w:sz w:val="24"/>
          <w:szCs w:val="24"/>
        </w:rPr>
        <w:t>J</w:t>
      </w:r>
      <w:r w:rsidR="007922F0" w:rsidRPr="00901E26">
        <w:rPr>
          <w:rFonts w:ascii="Times New Roman" w:hAnsi="Times New Roman" w:cs="Times New Roman"/>
          <w:sz w:val="24"/>
          <w:szCs w:val="24"/>
        </w:rPr>
        <w:t xml:space="preserve">obs </w:t>
      </w:r>
      <w:r w:rsidRPr="00901E26">
        <w:rPr>
          <w:rFonts w:ascii="Times New Roman" w:hAnsi="Times New Roman" w:cs="Times New Roman"/>
          <w:sz w:val="24"/>
          <w:szCs w:val="24"/>
        </w:rPr>
        <w:t>T</w:t>
      </w:r>
      <w:r w:rsidR="007922F0" w:rsidRPr="00901E26">
        <w:rPr>
          <w:rFonts w:ascii="Times New Roman" w:hAnsi="Times New Roman" w:cs="Times New Roman"/>
          <w:sz w:val="24"/>
          <w:szCs w:val="24"/>
        </w:rPr>
        <w:t xml:space="preserve">ax </w:t>
      </w:r>
      <w:r w:rsidRPr="00901E26">
        <w:rPr>
          <w:rFonts w:ascii="Times New Roman" w:hAnsi="Times New Roman" w:cs="Times New Roman"/>
          <w:sz w:val="24"/>
          <w:szCs w:val="24"/>
        </w:rPr>
        <w:t>C</w:t>
      </w:r>
      <w:r w:rsidR="007922F0" w:rsidRPr="00901E26">
        <w:rPr>
          <w:rFonts w:ascii="Times New Roman" w:hAnsi="Times New Roman" w:cs="Times New Roman"/>
          <w:sz w:val="24"/>
          <w:szCs w:val="24"/>
        </w:rPr>
        <w:t>redit, the major wage-subsidy program for the economically disadvantaged between 1979 and 1994,</w:t>
      </w:r>
      <w:r w:rsidRPr="00901E26">
        <w:rPr>
          <w:rFonts w:ascii="Times New Roman" w:hAnsi="Times New Roman" w:cs="Times New Roman"/>
          <w:sz w:val="24"/>
          <w:szCs w:val="24"/>
        </w:rPr>
        <w:t xml:space="preserve"> did boost employment of disadvantaged youths, and discusses evidence indicating positive and persistent program impacts from J</w:t>
      </w:r>
      <w:r w:rsidR="007922F0" w:rsidRPr="00901E26">
        <w:rPr>
          <w:rFonts w:ascii="Times New Roman" w:hAnsi="Times New Roman" w:cs="Times New Roman"/>
          <w:sz w:val="24"/>
          <w:szCs w:val="24"/>
        </w:rPr>
        <w:t xml:space="preserve">obs </w:t>
      </w:r>
      <w:r w:rsidRPr="00901E26">
        <w:rPr>
          <w:rFonts w:ascii="Times New Roman" w:hAnsi="Times New Roman" w:cs="Times New Roman"/>
          <w:sz w:val="24"/>
          <w:szCs w:val="24"/>
        </w:rPr>
        <w:t>T</w:t>
      </w:r>
      <w:r w:rsidR="007922F0" w:rsidRPr="00901E26">
        <w:rPr>
          <w:rFonts w:ascii="Times New Roman" w:hAnsi="Times New Roman" w:cs="Times New Roman"/>
          <w:sz w:val="24"/>
          <w:szCs w:val="24"/>
        </w:rPr>
        <w:t xml:space="preserve">raining </w:t>
      </w:r>
      <w:r w:rsidRPr="00901E26">
        <w:rPr>
          <w:rFonts w:ascii="Times New Roman" w:hAnsi="Times New Roman" w:cs="Times New Roman"/>
          <w:sz w:val="24"/>
          <w:szCs w:val="24"/>
        </w:rPr>
        <w:t>P</w:t>
      </w:r>
      <w:r w:rsidR="007922F0" w:rsidRPr="00901E26">
        <w:rPr>
          <w:rFonts w:ascii="Times New Roman" w:hAnsi="Times New Roman" w:cs="Times New Roman"/>
          <w:sz w:val="24"/>
          <w:szCs w:val="24"/>
        </w:rPr>
        <w:t xml:space="preserve">artnership </w:t>
      </w:r>
      <w:r w:rsidRPr="00901E26">
        <w:rPr>
          <w:rFonts w:ascii="Times New Roman" w:hAnsi="Times New Roman" w:cs="Times New Roman"/>
          <w:sz w:val="24"/>
          <w:szCs w:val="24"/>
        </w:rPr>
        <w:t>A</w:t>
      </w:r>
      <w:r w:rsidR="007922F0" w:rsidRPr="00901E26">
        <w:rPr>
          <w:rFonts w:ascii="Times New Roman" w:hAnsi="Times New Roman" w:cs="Times New Roman"/>
          <w:sz w:val="24"/>
          <w:szCs w:val="24"/>
        </w:rPr>
        <w:t>ct</w:t>
      </w:r>
      <w:r w:rsidRPr="00901E26">
        <w:rPr>
          <w:rFonts w:ascii="Times New Roman" w:hAnsi="Times New Roman" w:cs="Times New Roman"/>
          <w:sz w:val="24"/>
          <w:szCs w:val="24"/>
        </w:rPr>
        <w:t xml:space="preserve"> when the training was combined with job search assistance, especially for adult female welfare recipients.</w:t>
      </w:r>
      <w:r w:rsidR="00A90812" w:rsidRPr="00901E26">
        <w:rPr>
          <w:rStyle w:val="FootnoteReference"/>
          <w:rFonts w:ascii="Times New Roman" w:hAnsi="Times New Roman" w:cs="Times New Roman"/>
          <w:sz w:val="24"/>
          <w:szCs w:val="24"/>
        </w:rPr>
        <w:footnoteReference w:id="26"/>
      </w:r>
      <w:r w:rsidR="00412FCA">
        <w:rPr>
          <w:rFonts w:ascii="Times New Roman" w:hAnsi="Times New Roman" w:cs="Times New Roman"/>
          <w:sz w:val="24"/>
          <w:szCs w:val="24"/>
          <w:vertAlign w:val="superscript"/>
        </w:rPr>
        <w:t>,</w:t>
      </w:r>
      <w:r w:rsidR="008F726E">
        <w:rPr>
          <w:rStyle w:val="FootnoteReference"/>
          <w:rFonts w:ascii="Times New Roman" w:hAnsi="Times New Roman" w:cs="Times New Roman"/>
          <w:sz w:val="24"/>
          <w:szCs w:val="24"/>
        </w:rPr>
        <w:footnoteReference w:id="27"/>
      </w:r>
      <w:r w:rsidRPr="00901E26">
        <w:rPr>
          <w:rFonts w:ascii="Times New Roman" w:hAnsi="Times New Roman" w:cs="Times New Roman"/>
          <w:sz w:val="24"/>
          <w:szCs w:val="24"/>
        </w:rPr>
        <w:t xml:space="preserve"> This leads him to conclude that wage subsidies combined with training and job development assistance can help disadvantaged adults, but based on the evidence on stigma and low utilization, to express more skepticism (while still suggesting modest benefits) of other narrowly-targeted, stand-alone programs. Coupling such programs with training and job search assistance may reduce problems associated with stigma and hence increase the benefits of wage subsidies.</w:t>
      </w:r>
    </w:p>
    <w:p w:rsidR="0022516E" w:rsidRPr="00901E26" w:rsidRDefault="0022516E" w:rsidP="00DF66AA">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Another idea along the same lines is work-sharing.</w:t>
      </w:r>
      <w:r w:rsidR="00A90812" w:rsidRPr="00901E26">
        <w:rPr>
          <w:rStyle w:val="FootnoteReference"/>
          <w:rFonts w:ascii="Times New Roman" w:hAnsi="Times New Roman" w:cs="Times New Roman"/>
          <w:sz w:val="24"/>
          <w:szCs w:val="24"/>
        </w:rPr>
        <w:footnoteReference w:id="28"/>
      </w:r>
      <w:r w:rsidRPr="00901E26">
        <w:rPr>
          <w:rFonts w:ascii="Times New Roman" w:hAnsi="Times New Roman" w:cs="Times New Roman"/>
          <w:sz w:val="24"/>
          <w:szCs w:val="24"/>
        </w:rPr>
        <w:t xml:space="preserve"> Work sharing arrangements whereby workers continue to be employed for a few hours at their job while claiming unemployment benefits for the remaining hours could work as well.</w:t>
      </w:r>
    </w:p>
    <w:p w:rsidR="003C4260" w:rsidRPr="00901E26" w:rsidRDefault="001E4E71" w:rsidP="00DF66AA">
      <w:pPr>
        <w:spacing w:after="0" w:line="360" w:lineRule="auto"/>
        <w:ind w:firstLine="360"/>
        <w:jc w:val="both"/>
        <w:rPr>
          <w:rFonts w:ascii="Times New Roman" w:hAnsi="Times New Roman" w:cs="Times New Roman"/>
          <w:sz w:val="24"/>
          <w:szCs w:val="24"/>
        </w:rPr>
      </w:pPr>
      <w:r w:rsidRPr="00901E26">
        <w:rPr>
          <w:rFonts w:ascii="Times New Roman" w:hAnsi="Times New Roman" w:cs="Times New Roman"/>
          <w:sz w:val="24"/>
          <w:szCs w:val="24"/>
        </w:rPr>
        <w:t>R</w:t>
      </w:r>
      <w:r w:rsidR="0022516E" w:rsidRPr="00901E26">
        <w:rPr>
          <w:rFonts w:ascii="Times New Roman" w:hAnsi="Times New Roman" w:cs="Times New Roman"/>
          <w:sz w:val="24"/>
          <w:szCs w:val="24"/>
        </w:rPr>
        <w:t>a</w:t>
      </w:r>
      <w:r w:rsidRPr="00901E26">
        <w:rPr>
          <w:rFonts w:ascii="Times New Roman" w:hAnsi="Times New Roman" w:cs="Times New Roman"/>
          <w:sz w:val="24"/>
          <w:szCs w:val="24"/>
        </w:rPr>
        <w:t xml:space="preserve">ising minimum wages is a particularly bad idea when we think of high </w:t>
      </w:r>
      <w:r w:rsidR="00C860CD" w:rsidRPr="00901E26">
        <w:rPr>
          <w:rFonts w:ascii="Times New Roman" w:hAnsi="Times New Roman" w:cs="Times New Roman"/>
          <w:sz w:val="24"/>
          <w:szCs w:val="24"/>
        </w:rPr>
        <w:t xml:space="preserve">youth and </w:t>
      </w:r>
      <w:r w:rsidRPr="00901E26">
        <w:rPr>
          <w:rFonts w:ascii="Times New Roman" w:hAnsi="Times New Roman" w:cs="Times New Roman"/>
          <w:sz w:val="24"/>
          <w:szCs w:val="24"/>
        </w:rPr>
        <w:t>teenage unemployment rates.</w:t>
      </w:r>
      <w:r w:rsidR="0022516E" w:rsidRPr="00901E26">
        <w:rPr>
          <w:rStyle w:val="FootnoteReference"/>
          <w:rFonts w:ascii="Times New Roman" w:hAnsi="Times New Roman" w:cs="Times New Roman"/>
          <w:sz w:val="24"/>
          <w:szCs w:val="24"/>
        </w:rPr>
        <w:footnoteReference w:id="29"/>
      </w:r>
      <w:r w:rsidRPr="00901E26">
        <w:rPr>
          <w:rFonts w:ascii="Times New Roman" w:hAnsi="Times New Roman" w:cs="Times New Roman"/>
          <w:sz w:val="24"/>
          <w:szCs w:val="24"/>
        </w:rPr>
        <w:t xml:space="preserve"> Workers under age 25 make up half of those paid the federal minimum wage (or less). Among employed teenagers paid by the hour, about 21 percent earned the minimum wage or less.</w:t>
      </w:r>
      <w:r w:rsidRPr="00901E26">
        <w:rPr>
          <w:rStyle w:val="FootnoteReference"/>
          <w:rFonts w:ascii="Times New Roman" w:hAnsi="Times New Roman" w:cs="Times New Roman"/>
          <w:sz w:val="24"/>
          <w:szCs w:val="24"/>
        </w:rPr>
        <w:footnoteReference w:id="30"/>
      </w:r>
      <w:r w:rsidR="0022516E" w:rsidRPr="00901E26">
        <w:rPr>
          <w:rFonts w:ascii="Times New Roman" w:hAnsi="Times New Roman" w:cs="Times New Roman"/>
          <w:sz w:val="24"/>
          <w:szCs w:val="24"/>
        </w:rPr>
        <w:t xml:space="preserve"> One </w:t>
      </w:r>
      <w:r w:rsidR="003C4260" w:rsidRPr="00901E26">
        <w:rPr>
          <w:rFonts w:ascii="Times New Roman" w:hAnsi="Times New Roman" w:cs="Times New Roman"/>
          <w:sz w:val="24"/>
          <w:szCs w:val="24"/>
        </w:rPr>
        <w:t>option is encouraging vocational training and apprenticeship programs for youth</w:t>
      </w:r>
      <w:r w:rsidR="0022516E" w:rsidRPr="00901E26">
        <w:rPr>
          <w:rFonts w:ascii="Times New Roman" w:hAnsi="Times New Roman" w:cs="Times New Roman"/>
          <w:sz w:val="24"/>
          <w:szCs w:val="24"/>
        </w:rPr>
        <w:t>,</w:t>
      </w:r>
      <w:r w:rsidR="003C4260" w:rsidRPr="00901E26">
        <w:rPr>
          <w:rFonts w:ascii="Times New Roman" w:hAnsi="Times New Roman" w:cs="Times New Roman"/>
          <w:sz w:val="24"/>
          <w:szCs w:val="24"/>
        </w:rPr>
        <w:t xml:space="preserve"> as happens in Germany.</w:t>
      </w:r>
      <w:r w:rsidR="002E30FE" w:rsidRPr="00901E26">
        <w:rPr>
          <w:rFonts w:ascii="Times New Roman" w:hAnsi="Times New Roman" w:cs="Times New Roman"/>
          <w:sz w:val="24"/>
          <w:szCs w:val="24"/>
        </w:rPr>
        <w:t xml:space="preserve"> </w:t>
      </w:r>
      <w:proofErr w:type="spellStart"/>
      <w:r w:rsidR="002E30FE" w:rsidRPr="00901E26">
        <w:rPr>
          <w:rFonts w:ascii="Times New Roman" w:hAnsi="Times New Roman" w:cs="Times New Roman"/>
          <w:sz w:val="24"/>
          <w:szCs w:val="24"/>
        </w:rPr>
        <w:t>Neumark</w:t>
      </w:r>
      <w:proofErr w:type="spellEnd"/>
      <w:r w:rsidR="002E30FE" w:rsidRPr="00901E26">
        <w:rPr>
          <w:rFonts w:ascii="Times New Roman" w:hAnsi="Times New Roman" w:cs="Times New Roman"/>
          <w:sz w:val="24"/>
          <w:szCs w:val="24"/>
        </w:rPr>
        <w:t xml:space="preserve"> (2009) reviews different school-to work programs and finds that internship/apprenticeship programs encourage employment and also boost college attendance.</w:t>
      </w:r>
      <w:r w:rsidR="00F748AE">
        <w:rPr>
          <w:rStyle w:val="FootnoteReference"/>
          <w:rFonts w:ascii="Times New Roman" w:hAnsi="Times New Roman" w:cs="Times New Roman"/>
          <w:sz w:val="24"/>
          <w:szCs w:val="24"/>
        </w:rPr>
        <w:footnoteReference w:id="31"/>
      </w:r>
    </w:p>
    <w:p w:rsidR="001722A1" w:rsidRPr="00901E26" w:rsidRDefault="001F6775" w:rsidP="00DF66A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Minimum wages are also not a tool to fight poverty. </w:t>
      </w:r>
      <w:r w:rsidR="00604883">
        <w:rPr>
          <w:rFonts w:ascii="Times New Roman" w:hAnsi="Times New Roman" w:cs="Times New Roman"/>
          <w:sz w:val="24"/>
          <w:szCs w:val="24"/>
        </w:rPr>
        <w:t>By some estimates</w:t>
      </w:r>
      <w:r>
        <w:rPr>
          <w:rFonts w:ascii="Times New Roman" w:hAnsi="Times New Roman" w:cs="Times New Roman"/>
          <w:sz w:val="24"/>
          <w:szCs w:val="24"/>
        </w:rPr>
        <w:t xml:space="preserve">, </w:t>
      </w:r>
      <w:r w:rsidR="00BC17F7">
        <w:rPr>
          <w:rFonts w:ascii="Times New Roman" w:hAnsi="Times New Roman" w:cs="Times New Roman"/>
          <w:sz w:val="24"/>
          <w:szCs w:val="24"/>
        </w:rPr>
        <w:t>less than 2</w:t>
      </w:r>
      <w:r w:rsidR="00604883">
        <w:rPr>
          <w:rFonts w:ascii="Times New Roman" w:hAnsi="Times New Roman" w:cs="Times New Roman"/>
          <w:sz w:val="24"/>
          <w:szCs w:val="24"/>
        </w:rPr>
        <w:t>5</w:t>
      </w:r>
      <w:r>
        <w:rPr>
          <w:rFonts w:ascii="Times New Roman" w:hAnsi="Times New Roman" w:cs="Times New Roman"/>
          <w:sz w:val="24"/>
          <w:szCs w:val="24"/>
        </w:rPr>
        <w:t xml:space="preserve"> percent of minimum wage workers live below the poverty line based on family cash income.</w:t>
      </w:r>
      <w:r w:rsidR="00BC17F7">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r w:rsidR="0022516E" w:rsidRPr="00901E26">
        <w:rPr>
          <w:rFonts w:ascii="Times New Roman" w:hAnsi="Times New Roman" w:cs="Times New Roman"/>
          <w:sz w:val="24"/>
          <w:szCs w:val="24"/>
        </w:rPr>
        <w:t>An alternative to the minimum wage is the Earned Income Tax Credit program. The EITC arguably</w:t>
      </w:r>
      <w:r w:rsidR="006B30D7" w:rsidRPr="00901E26">
        <w:rPr>
          <w:rFonts w:ascii="Times New Roman" w:hAnsi="Times New Roman" w:cs="Times New Roman"/>
          <w:sz w:val="24"/>
          <w:szCs w:val="24"/>
        </w:rPr>
        <w:t xml:space="preserve"> is one of the federal government’s most efficient means of encouraging work and fighting poverty.</w:t>
      </w:r>
      <w:r w:rsidR="00BD6BD5">
        <w:rPr>
          <w:rFonts w:ascii="Times New Roman" w:hAnsi="Times New Roman" w:cs="Times New Roman"/>
          <w:sz w:val="24"/>
          <w:szCs w:val="24"/>
        </w:rPr>
        <w:t xml:space="preserve"> As per the Census Bureau, the EITC lifted 5.4 million people above the poverty line in 2010. </w:t>
      </w:r>
      <w:r w:rsidR="006B30D7" w:rsidRPr="00901E26">
        <w:rPr>
          <w:rFonts w:ascii="Times New Roman" w:hAnsi="Times New Roman" w:cs="Times New Roman"/>
          <w:sz w:val="24"/>
          <w:szCs w:val="24"/>
        </w:rPr>
        <w:t xml:space="preserve"> The $60 billion program pays low-income workers a wage supplement in the form of a tax credit that can be worth more than $5000 a year to a family with two children. However, the EITC also has some significant disadvantages. One, the program is not particularly well run. As a new report by the IRS inspector general notes, at least one of every five EITC dollars in 2012 was improperly awarded. That’s $11.6 billion. This does not account for those who got less than they were entitled to, or those who did not apply because they did not know that they were eligible for the EITC.</w:t>
      </w:r>
      <w:r w:rsidR="006B30D7" w:rsidRPr="00901E26">
        <w:rPr>
          <w:rStyle w:val="FootnoteReference"/>
          <w:rFonts w:ascii="Times New Roman" w:hAnsi="Times New Roman" w:cs="Times New Roman"/>
          <w:sz w:val="24"/>
          <w:szCs w:val="24"/>
        </w:rPr>
        <w:footnoteReference w:id="33"/>
      </w:r>
      <w:r w:rsidR="006B30D7" w:rsidRPr="00901E26">
        <w:rPr>
          <w:rFonts w:ascii="Times New Roman" w:hAnsi="Times New Roman" w:cs="Times New Roman"/>
          <w:sz w:val="24"/>
          <w:szCs w:val="24"/>
        </w:rPr>
        <w:t xml:space="preserve"> </w:t>
      </w:r>
      <w:r w:rsidR="007B22E7" w:rsidRPr="00901E26">
        <w:rPr>
          <w:rFonts w:ascii="Times New Roman" w:hAnsi="Times New Roman" w:cs="Times New Roman"/>
          <w:sz w:val="24"/>
          <w:szCs w:val="24"/>
        </w:rPr>
        <w:t>Another issue is that the phase-out range of the EITC imposes significant tax penalties on earners.</w:t>
      </w:r>
      <w:r w:rsidR="0022516E" w:rsidRPr="00901E26">
        <w:rPr>
          <w:rFonts w:ascii="Times New Roman" w:hAnsi="Times New Roman" w:cs="Times New Roman"/>
          <w:sz w:val="24"/>
          <w:szCs w:val="24"/>
        </w:rPr>
        <w:t xml:space="preserve"> However, it has been shown to encourage labor force participation for single mothers, and has proven to be an effective anti-poverty program</w:t>
      </w:r>
      <w:r w:rsidR="00F86CE7">
        <w:rPr>
          <w:rFonts w:ascii="Times New Roman" w:hAnsi="Times New Roman" w:cs="Times New Roman"/>
          <w:sz w:val="24"/>
          <w:szCs w:val="24"/>
        </w:rPr>
        <w:t>.</w:t>
      </w:r>
    </w:p>
    <w:p w:rsidR="00F97EDA" w:rsidRPr="00901E26" w:rsidRDefault="00F97EDA" w:rsidP="00DF66AA">
      <w:pPr>
        <w:spacing w:after="0" w:line="360" w:lineRule="auto"/>
        <w:ind w:firstLine="360"/>
        <w:jc w:val="both"/>
        <w:rPr>
          <w:rFonts w:ascii="Times New Roman" w:hAnsi="Times New Roman" w:cs="Times New Roman"/>
          <w:sz w:val="24"/>
          <w:szCs w:val="24"/>
        </w:rPr>
      </w:pPr>
    </w:p>
    <w:p w:rsidR="001308FA" w:rsidRPr="00901E26" w:rsidRDefault="001308FA" w:rsidP="00901E26">
      <w:pPr>
        <w:spacing w:line="360" w:lineRule="auto"/>
        <w:ind w:firstLine="360"/>
        <w:jc w:val="center"/>
        <w:rPr>
          <w:rFonts w:ascii="Times New Roman" w:hAnsi="Times New Roman" w:cs="Times New Roman"/>
          <w:sz w:val="24"/>
          <w:szCs w:val="24"/>
        </w:rPr>
      </w:pPr>
      <w:r w:rsidRPr="00901E26">
        <w:rPr>
          <w:rFonts w:ascii="Times New Roman" w:hAnsi="Times New Roman" w:cs="Times New Roman"/>
          <w:sz w:val="24"/>
          <w:szCs w:val="24"/>
        </w:rPr>
        <w:t>VI. Conclusion</w:t>
      </w:r>
    </w:p>
    <w:p w:rsidR="00C860CD" w:rsidRDefault="000C204B" w:rsidP="002E124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purpose of this testimony is to highlight issue of income inequality. Economists have tended to measure income inequality in different ways leading to a mixed picture of what has been happening to the gap between the rich and the poor over the last couple of decades. A review of these papers finds that some authors contend that income inequality has grown, while others find that income inequality may in fact have narrowed down over time. Another set of papers has focused on consumption as a measure of economic well-being and documented trends in consumption inequality. These papers again yield differing conclusions about consumption for the rich has fared relative to consumption of the poor. My own research finds that consumption inequality has remained fairly constant over the last few decades. Further, it documents an increase in standards of living for people at the very bottom of the income distribution. These improvements in living standards are likely a consequence of the tax and transfer system, wherein low income households have been the beneficiaries of redistribution efforts. However, it is also a consequence of significant price declines in technology items like computers and printers, driven by market competition and research and development efforts.</w:t>
      </w:r>
    </w:p>
    <w:p w:rsidR="000C204B" w:rsidRPr="00901E26" w:rsidRDefault="00BB1FF8" w:rsidP="002E124D">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Despite these improvements in living standards, it is </w:t>
      </w:r>
      <w:r w:rsidR="00B0205A">
        <w:rPr>
          <w:rFonts w:ascii="Times New Roman" w:hAnsi="Times New Roman" w:cs="Times New Roman"/>
          <w:sz w:val="24"/>
          <w:szCs w:val="24"/>
        </w:rPr>
        <w:t>well documented</w:t>
      </w:r>
      <w:r>
        <w:rPr>
          <w:rFonts w:ascii="Times New Roman" w:hAnsi="Times New Roman" w:cs="Times New Roman"/>
          <w:sz w:val="24"/>
          <w:szCs w:val="24"/>
        </w:rPr>
        <w:t xml:space="preserve"> that more than 47 million people live in poverty today in America. Moreover, the recent recession has further caused a decline in employment rates and earning potential of families. Towards the end of this testimony, I provide some policy suggestions that might help alleviate some of these issues. The testimony argues that while minimum wages and unemployment benefits may be the preferred strategies currently</w:t>
      </w:r>
      <w:r w:rsidR="000813CF">
        <w:rPr>
          <w:rFonts w:ascii="Times New Roman" w:hAnsi="Times New Roman" w:cs="Times New Roman"/>
          <w:sz w:val="24"/>
          <w:szCs w:val="24"/>
        </w:rPr>
        <w:t xml:space="preserve"> employed by policy</w:t>
      </w:r>
      <w:r>
        <w:rPr>
          <w:rFonts w:ascii="Times New Roman" w:hAnsi="Times New Roman" w:cs="Times New Roman"/>
          <w:sz w:val="24"/>
          <w:szCs w:val="24"/>
        </w:rPr>
        <w:t xml:space="preserve"> makers, these may not be the most effective means. Unemployment benefits combined with job and skills training </w:t>
      </w:r>
      <w:r w:rsidR="000813CF">
        <w:rPr>
          <w:rFonts w:ascii="Times New Roman" w:hAnsi="Times New Roman" w:cs="Times New Roman"/>
          <w:sz w:val="24"/>
          <w:szCs w:val="24"/>
        </w:rPr>
        <w:t xml:space="preserve">programs </w:t>
      </w:r>
      <w:r>
        <w:rPr>
          <w:rFonts w:ascii="Times New Roman" w:hAnsi="Times New Roman" w:cs="Times New Roman"/>
          <w:sz w:val="24"/>
          <w:szCs w:val="24"/>
        </w:rPr>
        <w:t xml:space="preserve">as well as wage subsidies </w:t>
      </w:r>
      <w:r w:rsidR="000813CF">
        <w:rPr>
          <w:rFonts w:ascii="Times New Roman" w:hAnsi="Times New Roman" w:cs="Times New Roman"/>
          <w:sz w:val="24"/>
          <w:szCs w:val="24"/>
        </w:rPr>
        <w:t xml:space="preserve">to get the long-term unemployed back in the labor market </w:t>
      </w:r>
      <w:r>
        <w:rPr>
          <w:rFonts w:ascii="Times New Roman" w:hAnsi="Times New Roman" w:cs="Times New Roman"/>
          <w:sz w:val="24"/>
          <w:szCs w:val="24"/>
        </w:rPr>
        <w:t>may be more efficient. At the same time, improving the targeting and efficiency of programs such as the EITC, which create the right incentives, in terms of encouraging work, may be extremely important as well.</w:t>
      </w:r>
      <w:r w:rsidR="000813CF">
        <w:rPr>
          <w:rFonts w:ascii="Times New Roman" w:hAnsi="Times New Roman" w:cs="Times New Roman"/>
          <w:sz w:val="24"/>
          <w:szCs w:val="24"/>
        </w:rPr>
        <w:t xml:space="preserve"> For youth, school-to-work programs that encourage apprenticeships and internships have been shown to be successful as well.</w:t>
      </w:r>
    </w:p>
    <w:sectPr w:rsidR="000C204B" w:rsidRPr="00901E26" w:rsidSect="00AC15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570" w:rsidRDefault="00604570" w:rsidP="00FD6480">
      <w:pPr>
        <w:spacing w:after="0" w:line="240" w:lineRule="auto"/>
      </w:pPr>
      <w:r>
        <w:separator/>
      </w:r>
    </w:p>
  </w:endnote>
  <w:endnote w:type="continuationSeparator" w:id="0">
    <w:p w:rsidR="00604570" w:rsidRDefault="00604570" w:rsidP="00FD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570" w:rsidRDefault="00604570" w:rsidP="00FD6480">
      <w:pPr>
        <w:spacing w:after="0" w:line="240" w:lineRule="auto"/>
      </w:pPr>
      <w:r>
        <w:separator/>
      </w:r>
    </w:p>
  </w:footnote>
  <w:footnote w:type="continuationSeparator" w:id="0">
    <w:p w:rsidR="00604570" w:rsidRDefault="00604570" w:rsidP="00FD6480">
      <w:pPr>
        <w:spacing w:after="0" w:line="240" w:lineRule="auto"/>
      </w:pPr>
      <w:r>
        <w:continuationSeparator/>
      </w:r>
    </w:p>
  </w:footnote>
  <w:footnote w:id="1">
    <w:p w:rsidR="00021997" w:rsidRPr="002C6E3F" w:rsidRDefault="00021997">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r w:rsidR="002C6377" w:rsidRPr="002C6E3F">
        <w:rPr>
          <w:rFonts w:ascii="Times New Roman" w:hAnsi="Times New Roman" w:cs="Times New Roman"/>
        </w:rPr>
        <w:t xml:space="preserve">Current Population Reports, “The Research </w:t>
      </w:r>
      <w:r w:rsidR="002769F5">
        <w:rPr>
          <w:rFonts w:ascii="Times New Roman" w:hAnsi="Times New Roman" w:cs="Times New Roman"/>
        </w:rPr>
        <w:t>Supplemental Poverty Measure</w:t>
      </w:r>
      <w:r w:rsidR="002C6377" w:rsidRPr="002C6E3F">
        <w:rPr>
          <w:rFonts w:ascii="Times New Roman" w:hAnsi="Times New Roman" w:cs="Times New Roman"/>
        </w:rPr>
        <w:t xml:space="preserve"> Nov, 2013. </w:t>
      </w:r>
      <w:hyperlink r:id="rId1" w:history="1">
        <w:r w:rsidRPr="002C6E3F">
          <w:rPr>
            <w:rStyle w:val="Hyperlink"/>
            <w:rFonts w:ascii="Times New Roman" w:hAnsi="Times New Roman" w:cs="Times New Roman"/>
          </w:rPr>
          <w:t>http://www.census.gov/prod/2013pubs/p60-247.pdf</w:t>
        </w:r>
      </w:hyperlink>
    </w:p>
  </w:footnote>
  <w:footnote w:id="2">
    <w:p w:rsidR="0008466D" w:rsidRPr="002C6E3F" w:rsidRDefault="0008466D">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hyperlink r:id="rId2" w:history="1">
        <w:r w:rsidRPr="002C6E3F">
          <w:rPr>
            <w:rStyle w:val="Hyperlink"/>
            <w:rFonts w:ascii="Times New Roman" w:hAnsi="Times New Roman" w:cs="Times New Roman"/>
          </w:rPr>
          <w:t>http://www.bls.gov/news.release/empsit.nr0.htm</w:t>
        </w:r>
      </w:hyperlink>
    </w:p>
  </w:footnote>
  <w:footnote w:id="3">
    <w:p w:rsidR="00A44305" w:rsidRPr="002C6E3F" w:rsidRDefault="00FD6480">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r w:rsidR="00E07EB7" w:rsidRPr="002C6E3F">
        <w:rPr>
          <w:rFonts w:ascii="Times New Roman" w:hAnsi="Times New Roman" w:cs="Times New Roman"/>
        </w:rPr>
        <w:t xml:space="preserve">Congressional Budget Office, “The Distribution of Household Income and Federal Taxes, 2010.” Dec, 2013. </w:t>
      </w:r>
      <w:hyperlink r:id="rId3" w:history="1">
        <w:r w:rsidR="00A44305" w:rsidRPr="002C6E3F">
          <w:rPr>
            <w:rStyle w:val="Hyperlink"/>
            <w:rFonts w:ascii="Times New Roman" w:hAnsi="Times New Roman" w:cs="Times New Roman"/>
          </w:rPr>
          <w:t>http://www.cbo.gov/sites/default/files/cbofiles/attachments/44604-AverageTaxRates.pdf</w:t>
        </w:r>
      </w:hyperlink>
    </w:p>
  </w:footnote>
  <w:footnote w:id="4">
    <w:p w:rsidR="0008175F" w:rsidRPr="002C6E3F" w:rsidRDefault="009B0AF2">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proofErr w:type="spellStart"/>
      <w:r w:rsidR="000039CD" w:rsidRPr="002C6E3F">
        <w:rPr>
          <w:rFonts w:ascii="Times New Roman" w:hAnsi="Times New Roman" w:cs="Times New Roman"/>
        </w:rPr>
        <w:t>Facundo</w:t>
      </w:r>
      <w:proofErr w:type="spellEnd"/>
      <w:r w:rsidR="000039CD" w:rsidRPr="002C6E3F">
        <w:rPr>
          <w:rFonts w:ascii="Times New Roman" w:hAnsi="Times New Roman" w:cs="Times New Roman"/>
        </w:rPr>
        <w:t xml:space="preserve"> </w:t>
      </w:r>
      <w:proofErr w:type="spellStart"/>
      <w:r w:rsidR="000039CD" w:rsidRPr="002C6E3F">
        <w:rPr>
          <w:rFonts w:ascii="Times New Roman" w:hAnsi="Times New Roman" w:cs="Times New Roman"/>
        </w:rPr>
        <w:t>Alvaredo</w:t>
      </w:r>
      <w:proofErr w:type="spellEnd"/>
      <w:r w:rsidR="000039CD" w:rsidRPr="002C6E3F">
        <w:rPr>
          <w:rFonts w:ascii="Times New Roman" w:hAnsi="Times New Roman" w:cs="Times New Roman"/>
        </w:rPr>
        <w:t xml:space="preserve">, Anthony B. Atkinson, Thomas </w:t>
      </w:r>
      <w:proofErr w:type="spellStart"/>
      <w:r w:rsidR="000039CD" w:rsidRPr="002C6E3F">
        <w:rPr>
          <w:rFonts w:ascii="Times New Roman" w:hAnsi="Times New Roman" w:cs="Times New Roman"/>
        </w:rPr>
        <w:t>Piketty</w:t>
      </w:r>
      <w:proofErr w:type="spellEnd"/>
      <w:r w:rsidR="000039CD" w:rsidRPr="002C6E3F">
        <w:rPr>
          <w:rFonts w:ascii="Times New Roman" w:hAnsi="Times New Roman" w:cs="Times New Roman"/>
        </w:rPr>
        <w:t xml:space="preserve">, Emmanuel </w:t>
      </w:r>
      <w:proofErr w:type="spellStart"/>
      <w:r w:rsidR="000039CD" w:rsidRPr="002C6E3F">
        <w:rPr>
          <w:rFonts w:ascii="Times New Roman" w:hAnsi="Times New Roman" w:cs="Times New Roman"/>
        </w:rPr>
        <w:t>Saez</w:t>
      </w:r>
      <w:proofErr w:type="spellEnd"/>
      <w:r w:rsidR="000039CD" w:rsidRPr="002C6E3F">
        <w:rPr>
          <w:rFonts w:ascii="Times New Roman" w:hAnsi="Times New Roman" w:cs="Times New Roman"/>
        </w:rPr>
        <w:t xml:space="preserve">. </w:t>
      </w:r>
      <w:proofErr w:type="gramStart"/>
      <w:r w:rsidR="000039CD" w:rsidRPr="002C6E3F">
        <w:rPr>
          <w:rFonts w:ascii="Times New Roman" w:hAnsi="Times New Roman" w:cs="Times New Roman"/>
        </w:rPr>
        <w:t>“The Top 1 Percent in International and Historical Perspective.”</w:t>
      </w:r>
      <w:proofErr w:type="gramEnd"/>
      <w:r w:rsidR="000039CD" w:rsidRPr="002C6E3F">
        <w:rPr>
          <w:rFonts w:ascii="Times New Roman" w:hAnsi="Times New Roman" w:cs="Times New Roman"/>
        </w:rPr>
        <w:t xml:space="preserve"> NBER Working Paper No. 19075. May, 2013. </w:t>
      </w:r>
      <w:hyperlink r:id="rId4" w:history="1">
        <w:r w:rsidR="0008175F" w:rsidRPr="002C6E3F">
          <w:rPr>
            <w:rStyle w:val="Hyperlink"/>
            <w:rFonts w:ascii="Times New Roman" w:hAnsi="Times New Roman" w:cs="Times New Roman"/>
          </w:rPr>
          <w:t>http://www.nber.org/papers/w19075</w:t>
        </w:r>
      </w:hyperlink>
    </w:p>
  </w:footnote>
  <w:footnote w:id="5">
    <w:p w:rsidR="002718BC" w:rsidRPr="002C6E3F" w:rsidRDefault="002718BC" w:rsidP="002718BC">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Emmanuel </w:t>
      </w:r>
      <w:proofErr w:type="spellStart"/>
      <w:r w:rsidRPr="002C6E3F">
        <w:rPr>
          <w:rFonts w:ascii="Times New Roman" w:hAnsi="Times New Roman" w:cs="Times New Roman"/>
        </w:rPr>
        <w:t>Saez</w:t>
      </w:r>
      <w:proofErr w:type="spellEnd"/>
      <w:r w:rsidRPr="002C6E3F">
        <w:rPr>
          <w:rFonts w:ascii="Times New Roman" w:hAnsi="Times New Roman" w:cs="Times New Roman"/>
        </w:rPr>
        <w:t xml:space="preserve"> and Thomas </w:t>
      </w:r>
      <w:proofErr w:type="spellStart"/>
      <w:r w:rsidRPr="002C6E3F">
        <w:rPr>
          <w:rFonts w:ascii="Times New Roman" w:hAnsi="Times New Roman" w:cs="Times New Roman"/>
        </w:rPr>
        <w:t>Piketty</w:t>
      </w:r>
      <w:proofErr w:type="spellEnd"/>
      <w:r w:rsidRPr="002C6E3F">
        <w:rPr>
          <w:rFonts w:ascii="Times New Roman" w:hAnsi="Times New Roman" w:cs="Times New Roman"/>
        </w:rPr>
        <w:t>, “Striking it Richer: The Evolution of Top Incomes in the United States.”</w:t>
      </w:r>
      <w:r w:rsidR="00BB4270" w:rsidRPr="002C6E3F">
        <w:rPr>
          <w:rFonts w:ascii="Times New Roman" w:hAnsi="Times New Roman" w:cs="Times New Roman"/>
          <w:lang w:eastAsia="zh-CN"/>
        </w:rPr>
        <w:t xml:space="preserve"> 2012</w:t>
      </w:r>
      <w:r w:rsidRPr="002C6E3F">
        <w:rPr>
          <w:rFonts w:ascii="Times New Roman" w:hAnsi="Times New Roman" w:cs="Times New Roman"/>
        </w:rPr>
        <w:t xml:space="preserve"> </w:t>
      </w:r>
      <w:hyperlink r:id="rId5" w:history="1">
        <w:r w:rsidRPr="002C6E3F">
          <w:rPr>
            <w:rStyle w:val="Hyperlink"/>
            <w:rFonts w:ascii="Times New Roman" w:hAnsi="Times New Roman" w:cs="Times New Roman"/>
          </w:rPr>
          <w:t>http://elsa.berkeley.edu/~saez/saez-UStopincomes-2012.pdf</w:t>
        </w:r>
      </w:hyperlink>
    </w:p>
  </w:footnote>
  <w:footnote w:id="6">
    <w:p w:rsidR="006F5267" w:rsidRPr="002C6E3F" w:rsidRDefault="006F5267" w:rsidP="006F5267">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Philip </w:t>
      </w:r>
      <w:proofErr w:type="spellStart"/>
      <w:r w:rsidRPr="002C6E3F">
        <w:rPr>
          <w:rFonts w:ascii="Times New Roman" w:hAnsi="Times New Roman" w:cs="Times New Roman"/>
        </w:rPr>
        <w:t>Armour</w:t>
      </w:r>
      <w:proofErr w:type="spellEnd"/>
      <w:r w:rsidRPr="002C6E3F">
        <w:rPr>
          <w:rFonts w:ascii="Times New Roman" w:hAnsi="Times New Roman" w:cs="Times New Roman"/>
        </w:rPr>
        <w:t xml:space="preserve">, Richard V. </w:t>
      </w:r>
      <w:proofErr w:type="spellStart"/>
      <w:r w:rsidRPr="002C6E3F">
        <w:rPr>
          <w:rFonts w:ascii="Times New Roman" w:hAnsi="Times New Roman" w:cs="Times New Roman"/>
        </w:rPr>
        <w:t>Burkhauser</w:t>
      </w:r>
      <w:proofErr w:type="spellEnd"/>
      <w:r w:rsidRPr="002C6E3F">
        <w:rPr>
          <w:rFonts w:ascii="Times New Roman" w:hAnsi="Times New Roman" w:cs="Times New Roman"/>
        </w:rPr>
        <w:t xml:space="preserve">, Jeff </w:t>
      </w:r>
      <w:proofErr w:type="spellStart"/>
      <w:r w:rsidRPr="002C6E3F">
        <w:rPr>
          <w:rFonts w:ascii="Times New Roman" w:hAnsi="Times New Roman" w:cs="Times New Roman"/>
        </w:rPr>
        <w:t>Larrimore</w:t>
      </w:r>
      <w:proofErr w:type="spellEnd"/>
      <w:r w:rsidRPr="002C6E3F">
        <w:rPr>
          <w:rFonts w:ascii="Times New Roman" w:hAnsi="Times New Roman" w:cs="Times New Roman"/>
        </w:rPr>
        <w:t xml:space="preserve">. “Levels and Trends in United States Income and Its Distribution A Crosswalk from Market Income Towards a Comprehensive Haig-Simons Income Approach.” NBER Working Paper No. 19110. </w:t>
      </w:r>
      <w:r w:rsidRPr="002C6E3F">
        <w:rPr>
          <w:rFonts w:ascii="Times New Roman" w:hAnsi="Times New Roman" w:cs="Times New Roman"/>
          <w:lang w:eastAsia="zh-CN"/>
        </w:rPr>
        <w:t xml:space="preserve">June, 2013. </w:t>
      </w:r>
      <w:hyperlink r:id="rId6" w:history="1">
        <w:r w:rsidRPr="002C6E3F">
          <w:rPr>
            <w:rStyle w:val="Hyperlink"/>
            <w:rFonts w:ascii="Times New Roman" w:hAnsi="Times New Roman" w:cs="Times New Roman"/>
          </w:rPr>
          <w:t>http://www.nber.org/papers/w19110</w:t>
        </w:r>
      </w:hyperlink>
    </w:p>
  </w:footnote>
  <w:footnote w:id="7">
    <w:p w:rsidR="005C50EC" w:rsidRPr="002C6E3F" w:rsidRDefault="005C50EC" w:rsidP="005C50EC">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proofErr w:type="gramStart"/>
      <w:r w:rsidRPr="002C6E3F">
        <w:rPr>
          <w:rFonts w:ascii="Times New Roman" w:hAnsi="Times New Roman" w:cs="Times New Roman"/>
        </w:rPr>
        <w:t xml:space="preserve">N. Gregory </w:t>
      </w:r>
      <w:proofErr w:type="spellStart"/>
      <w:r w:rsidRPr="002C6E3F">
        <w:rPr>
          <w:rFonts w:ascii="Times New Roman" w:hAnsi="Times New Roman" w:cs="Times New Roman"/>
        </w:rPr>
        <w:t>Mankiw</w:t>
      </w:r>
      <w:proofErr w:type="spellEnd"/>
      <w:r w:rsidRPr="002C6E3F">
        <w:rPr>
          <w:rFonts w:ascii="Times New Roman" w:hAnsi="Times New Roman" w:cs="Times New Roman"/>
        </w:rPr>
        <w:t>, “Defending the One Percent. “</w:t>
      </w:r>
      <w:proofErr w:type="gramEnd"/>
      <w:r w:rsidRPr="002C6E3F">
        <w:rPr>
          <w:rFonts w:ascii="Times New Roman" w:hAnsi="Times New Roman" w:cs="Times New Roman"/>
          <w:lang w:eastAsia="zh-CN"/>
        </w:rPr>
        <w:t xml:space="preserve"> 2013.</w:t>
      </w:r>
      <w:r w:rsidRPr="002C6E3F">
        <w:rPr>
          <w:rFonts w:ascii="Times New Roman" w:hAnsi="Times New Roman" w:cs="Times New Roman"/>
        </w:rPr>
        <w:t xml:space="preserve"> </w:t>
      </w:r>
      <w:hyperlink r:id="rId7" w:history="1">
        <w:r w:rsidRPr="002C6E3F">
          <w:rPr>
            <w:rStyle w:val="Hyperlink"/>
            <w:rFonts w:ascii="Times New Roman" w:hAnsi="Times New Roman" w:cs="Times New Roman"/>
          </w:rPr>
          <w:t>http://pubs.aeaweb.org/doi/pdfplus/10.1257/jep.27.3.21</w:t>
        </w:r>
      </w:hyperlink>
    </w:p>
  </w:footnote>
  <w:footnote w:id="8">
    <w:p w:rsidR="00E14419" w:rsidRPr="002C6E3F" w:rsidRDefault="00E14419">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Dirk Krueger, </w:t>
      </w:r>
      <w:proofErr w:type="spellStart"/>
      <w:r w:rsidRPr="002C6E3F">
        <w:rPr>
          <w:rFonts w:ascii="Times New Roman" w:hAnsi="Times New Roman" w:cs="Times New Roman"/>
        </w:rPr>
        <w:t>Fabrizio</w:t>
      </w:r>
      <w:proofErr w:type="spellEnd"/>
      <w:r w:rsidRPr="002C6E3F">
        <w:rPr>
          <w:rFonts w:ascii="Times New Roman" w:hAnsi="Times New Roman" w:cs="Times New Roman"/>
        </w:rPr>
        <w:t xml:space="preserve"> </w:t>
      </w:r>
      <w:proofErr w:type="spellStart"/>
      <w:r w:rsidRPr="002C6E3F">
        <w:rPr>
          <w:rFonts w:ascii="Times New Roman" w:hAnsi="Times New Roman" w:cs="Times New Roman"/>
        </w:rPr>
        <w:t>Perri</w:t>
      </w:r>
      <w:proofErr w:type="spellEnd"/>
      <w:r w:rsidRPr="002C6E3F">
        <w:rPr>
          <w:rFonts w:ascii="Times New Roman" w:hAnsi="Times New Roman" w:cs="Times New Roman"/>
        </w:rPr>
        <w:t xml:space="preserve">. “Does Income Inequality Lead to Consumption Inequality? Evidence and Theory,” Aug 2005. </w:t>
      </w:r>
      <w:hyperlink r:id="rId8" w:history="1">
        <w:r w:rsidRPr="002C6E3F">
          <w:rPr>
            <w:rStyle w:val="Hyperlink"/>
            <w:rFonts w:ascii="Times New Roman" w:hAnsi="Times New Roman" w:cs="Times New Roman"/>
          </w:rPr>
          <w:t>http://economics.sas.upenn.edu/~dkrueger/research/consinc.pdf</w:t>
        </w:r>
      </w:hyperlink>
    </w:p>
  </w:footnote>
  <w:footnote w:id="9">
    <w:p w:rsidR="00DF5095" w:rsidRPr="002C6E3F" w:rsidRDefault="00DF5095" w:rsidP="00DF5095">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Richard Blundell, Luigi </w:t>
      </w:r>
      <w:proofErr w:type="spellStart"/>
      <w:r w:rsidRPr="002C6E3F">
        <w:rPr>
          <w:rFonts w:ascii="Times New Roman" w:hAnsi="Times New Roman" w:cs="Times New Roman"/>
        </w:rPr>
        <w:t>Pistaferri</w:t>
      </w:r>
      <w:proofErr w:type="spellEnd"/>
      <w:r w:rsidRPr="002C6E3F">
        <w:rPr>
          <w:rFonts w:ascii="Times New Roman" w:hAnsi="Times New Roman" w:cs="Times New Roman"/>
        </w:rPr>
        <w:t xml:space="preserve">, Ian Preston. </w:t>
      </w:r>
      <w:proofErr w:type="gramStart"/>
      <w:r w:rsidRPr="002C6E3F">
        <w:rPr>
          <w:rFonts w:ascii="Times New Roman" w:hAnsi="Times New Roman" w:cs="Times New Roman"/>
        </w:rPr>
        <w:t>“Consumption Inequality and Partial Insurance.”</w:t>
      </w:r>
      <w:proofErr w:type="gramEnd"/>
      <w:r w:rsidRPr="002C6E3F">
        <w:rPr>
          <w:rFonts w:ascii="Times New Roman" w:hAnsi="Times New Roman" w:cs="Times New Roman"/>
        </w:rPr>
        <w:t xml:space="preserve"> American Economic Review 2008, 98:5, 1887–1921. </w:t>
      </w:r>
      <w:hyperlink r:id="rId9" w:history="1">
        <w:r w:rsidRPr="002C6E3F">
          <w:rPr>
            <w:rStyle w:val="Hyperlink"/>
            <w:rFonts w:ascii="Times New Roman" w:hAnsi="Times New Roman" w:cs="Times New Roman"/>
          </w:rPr>
          <w:t>http://www.ucl.ac.uk/~uctp39a/BBP%20AER.pdf</w:t>
        </w:r>
      </w:hyperlink>
    </w:p>
  </w:footnote>
  <w:footnote w:id="10">
    <w:p w:rsidR="00640CB2" w:rsidRPr="002C6E3F" w:rsidRDefault="00640CB2" w:rsidP="00640CB2">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proofErr w:type="spellStart"/>
      <w:r w:rsidRPr="002C6E3F">
        <w:rPr>
          <w:rFonts w:ascii="Times New Roman" w:hAnsi="Times New Roman" w:cs="Times New Roman"/>
        </w:rPr>
        <w:t>Orazio</w:t>
      </w:r>
      <w:proofErr w:type="spellEnd"/>
      <w:r w:rsidRPr="002C6E3F">
        <w:rPr>
          <w:rFonts w:ascii="Times New Roman" w:hAnsi="Times New Roman" w:cs="Times New Roman"/>
        </w:rPr>
        <w:t xml:space="preserve"> </w:t>
      </w:r>
      <w:proofErr w:type="spellStart"/>
      <w:r w:rsidRPr="002C6E3F">
        <w:rPr>
          <w:rFonts w:ascii="Times New Roman" w:hAnsi="Times New Roman" w:cs="Times New Roman"/>
        </w:rPr>
        <w:t>Attanasio</w:t>
      </w:r>
      <w:proofErr w:type="spellEnd"/>
      <w:r w:rsidRPr="002C6E3F">
        <w:rPr>
          <w:rFonts w:ascii="Times New Roman" w:hAnsi="Times New Roman" w:cs="Times New Roman"/>
        </w:rPr>
        <w:t xml:space="preserve">, Erik Hurst, Luigi </w:t>
      </w:r>
      <w:proofErr w:type="spellStart"/>
      <w:r w:rsidRPr="002C6E3F">
        <w:rPr>
          <w:rFonts w:ascii="Times New Roman" w:hAnsi="Times New Roman" w:cs="Times New Roman"/>
        </w:rPr>
        <w:t>Pistaferri</w:t>
      </w:r>
      <w:proofErr w:type="spellEnd"/>
      <w:r w:rsidRPr="002C6E3F">
        <w:rPr>
          <w:rFonts w:ascii="Times New Roman" w:hAnsi="Times New Roman" w:cs="Times New Roman"/>
        </w:rPr>
        <w:t xml:space="preserve">. “The Evolution of Income, Consumption, and Leisure Inequality in </w:t>
      </w:r>
      <w:proofErr w:type="gramStart"/>
      <w:r w:rsidRPr="002C6E3F">
        <w:rPr>
          <w:rFonts w:ascii="Times New Roman" w:hAnsi="Times New Roman" w:cs="Times New Roman"/>
        </w:rPr>
        <w:t>The</w:t>
      </w:r>
      <w:proofErr w:type="gramEnd"/>
      <w:r w:rsidRPr="002C6E3F">
        <w:rPr>
          <w:rFonts w:ascii="Times New Roman" w:hAnsi="Times New Roman" w:cs="Times New Roman"/>
        </w:rPr>
        <w:t xml:space="preserve"> US, 1980-2010.” NBER Working Paper No. 17982. Apr, 2012. </w:t>
      </w:r>
      <w:hyperlink r:id="rId10" w:history="1">
        <w:r w:rsidRPr="002C6E3F">
          <w:rPr>
            <w:rStyle w:val="Hyperlink"/>
            <w:rFonts w:ascii="Times New Roman" w:hAnsi="Times New Roman" w:cs="Times New Roman"/>
          </w:rPr>
          <w:t>http://www.nber.org/papers/w17982</w:t>
        </w:r>
      </w:hyperlink>
    </w:p>
  </w:footnote>
  <w:footnote w:id="11">
    <w:p w:rsidR="004A56F1" w:rsidRPr="002C6E3F" w:rsidRDefault="004A56F1">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proofErr w:type="spellStart"/>
      <w:r w:rsidRPr="002C6E3F">
        <w:rPr>
          <w:rFonts w:ascii="Times New Roman" w:hAnsi="Times New Roman" w:cs="Times New Roman"/>
        </w:rPr>
        <w:t>Attanasio</w:t>
      </w:r>
      <w:proofErr w:type="spellEnd"/>
      <w:r w:rsidRPr="002C6E3F">
        <w:rPr>
          <w:rFonts w:ascii="Times New Roman" w:hAnsi="Times New Roman" w:cs="Times New Roman"/>
        </w:rPr>
        <w:t xml:space="preserve"> et al. </w:t>
      </w:r>
      <w:r w:rsidR="00983387" w:rsidRPr="002C6E3F">
        <w:rPr>
          <w:rFonts w:ascii="Times New Roman" w:hAnsi="Times New Roman" w:cs="Times New Roman"/>
        </w:rPr>
        <w:t>“</w:t>
      </w:r>
      <w:r w:rsidRPr="002C6E3F">
        <w:rPr>
          <w:rFonts w:ascii="Times New Roman" w:hAnsi="Times New Roman" w:cs="Times New Roman"/>
        </w:rPr>
        <w:t xml:space="preserve">The Evolution of Income, Consumption, and Leisure Inequality in </w:t>
      </w:r>
      <w:r w:rsidR="00222419" w:rsidRPr="002C6E3F">
        <w:rPr>
          <w:rFonts w:ascii="Times New Roman" w:hAnsi="Times New Roman" w:cs="Times New Roman"/>
        </w:rPr>
        <w:t>t</w:t>
      </w:r>
      <w:r w:rsidRPr="002C6E3F">
        <w:rPr>
          <w:rFonts w:ascii="Times New Roman" w:hAnsi="Times New Roman" w:cs="Times New Roman"/>
        </w:rPr>
        <w:t>he US, 1980-2010.</w:t>
      </w:r>
      <w:r w:rsidR="00983387" w:rsidRPr="002C6E3F">
        <w:rPr>
          <w:rFonts w:ascii="Times New Roman" w:hAnsi="Times New Roman" w:cs="Times New Roman"/>
        </w:rPr>
        <w:t>”</w:t>
      </w:r>
      <w:r w:rsidR="009850BC" w:rsidRPr="002C6E3F">
        <w:rPr>
          <w:rFonts w:ascii="Times New Roman" w:hAnsi="Times New Roman" w:cs="Times New Roman"/>
        </w:rPr>
        <w:t xml:space="preserve"> Apr, 2012.</w:t>
      </w:r>
    </w:p>
  </w:footnote>
  <w:footnote w:id="12">
    <w:p w:rsidR="003659B8" w:rsidRPr="002C6E3F" w:rsidRDefault="00CC6FF4">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Mark A. </w:t>
      </w:r>
      <w:proofErr w:type="spellStart"/>
      <w:r w:rsidRPr="002C6E3F">
        <w:rPr>
          <w:rFonts w:ascii="Times New Roman" w:hAnsi="Times New Roman" w:cs="Times New Roman"/>
        </w:rPr>
        <w:t>Aguiar</w:t>
      </w:r>
      <w:proofErr w:type="spellEnd"/>
      <w:r w:rsidRPr="002C6E3F">
        <w:rPr>
          <w:rFonts w:ascii="Times New Roman" w:hAnsi="Times New Roman" w:cs="Times New Roman"/>
        </w:rPr>
        <w:t xml:space="preserve">, Mark </w:t>
      </w:r>
      <w:proofErr w:type="spellStart"/>
      <w:r w:rsidRPr="002C6E3F">
        <w:rPr>
          <w:rFonts w:ascii="Times New Roman" w:hAnsi="Times New Roman" w:cs="Times New Roman"/>
        </w:rPr>
        <w:t>Bils</w:t>
      </w:r>
      <w:proofErr w:type="spellEnd"/>
      <w:r w:rsidRPr="002C6E3F">
        <w:rPr>
          <w:rFonts w:ascii="Times New Roman" w:hAnsi="Times New Roman" w:cs="Times New Roman"/>
        </w:rPr>
        <w:t xml:space="preserve">. </w:t>
      </w:r>
      <w:r w:rsidR="00983387" w:rsidRPr="002C6E3F">
        <w:rPr>
          <w:rFonts w:ascii="Times New Roman" w:hAnsi="Times New Roman" w:cs="Times New Roman"/>
        </w:rPr>
        <w:t>“</w:t>
      </w:r>
      <w:r w:rsidRPr="002C6E3F">
        <w:rPr>
          <w:rFonts w:ascii="Times New Roman" w:hAnsi="Times New Roman" w:cs="Times New Roman"/>
        </w:rPr>
        <w:t>Has Consumption Inequality Mirrored Income Inequality?</w:t>
      </w:r>
      <w:r w:rsidR="00983387" w:rsidRPr="002C6E3F">
        <w:rPr>
          <w:rFonts w:ascii="Times New Roman" w:hAnsi="Times New Roman" w:cs="Times New Roman"/>
        </w:rPr>
        <w:t>”</w:t>
      </w:r>
      <w:r w:rsidR="00611D1B" w:rsidRPr="002C6E3F">
        <w:rPr>
          <w:rFonts w:ascii="Times New Roman" w:hAnsi="Times New Roman" w:cs="Times New Roman"/>
        </w:rPr>
        <w:t xml:space="preserve"> NBER Working Paper No. 16807. Feb, 2011. </w:t>
      </w:r>
      <w:hyperlink r:id="rId11" w:history="1">
        <w:r w:rsidR="003659B8" w:rsidRPr="002C6E3F">
          <w:rPr>
            <w:rStyle w:val="Hyperlink"/>
            <w:rFonts w:ascii="Times New Roman" w:hAnsi="Times New Roman" w:cs="Times New Roman"/>
          </w:rPr>
          <w:t>http://www.nber.org/papers/w16807</w:t>
        </w:r>
      </w:hyperlink>
    </w:p>
  </w:footnote>
  <w:footnote w:id="13">
    <w:p w:rsidR="001262EC" w:rsidRPr="002C6E3F" w:rsidRDefault="001262EC">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Kevin A. Hassett and Aparna Mathur, “A New Measure of Consumption Inequality,” AEI Economic Studies, June 2012</w:t>
      </w:r>
    </w:p>
  </w:footnote>
  <w:footnote w:id="14">
    <w:p w:rsidR="007615BB" w:rsidRPr="002C6E3F" w:rsidRDefault="007615BB" w:rsidP="007615BB">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Aparna Mathur, Michael R. Strain, Sita Nataraj Slavov. “Should the top marginal income tax rate be 73 percent?” </w:t>
      </w:r>
      <w:proofErr w:type="gramStart"/>
      <w:r w:rsidRPr="002C6E3F">
        <w:rPr>
          <w:rFonts w:ascii="Times New Roman" w:hAnsi="Times New Roman" w:cs="Times New Roman"/>
        </w:rPr>
        <w:t>Tax Notes.</w:t>
      </w:r>
      <w:proofErr w:type="gramEnd"/>
      <w:r w:rsidRPr="002C6E3F">
        <w:rPr>
          <w:rFonts w:ascii="Times New Roman" w:hAnsi="Times New Roman" w:cs="Times New Roman"/>
        </w:rPr>
        <w:t xml:space="preserve"> Nov, 2012. </w:t>
      </w:r>
      <w:hyperlink r:id="rId12" w:history="1">
        <w:r w:rsidRPr="002C6E3F">
          <w:rPr>
            <w:rStyle w:val="Hyperlink"/>
            <w:rFonts w:ascii="Times New Roman" w:hAnsi="Times New Roman" w:cs="Times New Roman"/>
          </w:rPr>
          <w:t>http://www.aei.org/article/economics/fiscal-policy/taxes/should-the-top-marginal-income-tax-rate-be-73-percent/</w:t>
        </w:r>
      </w:hyperlink>
    </w:p>
  </w:footnote>
  <w:footnote w:id="15">
    <w:p w:rsidR="00AB00DE" w:rsidRPr="002C6E3F" w:rsidRDefault="00CD5031">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proofErr w:type="gramStart"/>
      <w:r w:rsidRPr="002C6E3F">
        <w:rPr>
          <w:rFonts w:ascii="Times New Roman" w:hAnsi="Times New Roman" w:cs="Times New Roman"/>
        </w:rPr>
        <w:t xml:space="preserve">Peter Diamond and Emmanuel </w:t>
      </w:r>
      <w:proofErr w:type="spellStart"/>
      <w:r w:rsidRPr="002C6E3F">
        <w:rPr>
          <w:rFonts w:ascii="Times New Roman" w:hAnsi="Times New Roman" w:cs="Times New Roman"/>
        </w:rPr>
        <w:t>Saez</w:t>
      </w:r>
      <w:proofErr w:type="spellEnd"/>
      <w:r w:rsidRPr="002C6E3F">
        <w:rPr>
          <w:rFonts w:ascii="Times New Roman" w:hAnsi="Times New Roman" w:cs="Times New Roman"/>
        </w:rPr>
        <w:t>.</w:t>
      </w:r>
      <w:proofErr w:type="gramEnd"/>
      <w:r w:rsidRPr="002C6E3F">
        <w:rPr>
          <w:rFonts w:ascii="Times New Roman" w:hAnsi="Times New Roman" w:cs="Times New Roman"/>
        </w:rPr>
        <w:t xml:space="preserve"> </w:t>
      </w:r>
      <w:proofErr w:type="gramStart"/>
      <w:r w:rsidR="007D6914" w:rsidRPr="002C6E3F">
        <w:rPr>
          <w:rFonts w:ascii="Times New Roman" w:hAnsi="Times New Roman" w:cs="Times New Roman"/>
        </w:rPr>
        <w:t>“</w:t>
      </w:r>
      <w:r w:rsidRPr="002C6E3F">
        <w:rPr>
          <w:rFonts w:ascii="Times New Roman" w:hAnsi="Times New Roman" w:cs="Times New Roman"/>
        </w:rPr>
        <w:t>The Case for a Progressive Tax: From Basic Research to Policy Recommendations.</w:t>
      </w:r>
      <w:r w:rsidR="007D6914" w:rsidRPr="002C6E3F">
        <w:rPr>
          <w:rFonts w:ascii="Times New Roman" w:hAnsi="Times New Roman" w:cs="Times New Roman"/>
        </w:rPr>
        <w:t>”</w:t>
      </w:r>
      <w:proofErr w:type="gramEnd"/>
      <w:r w:rsidRPr="002C6E3F">
        <w:rPr>
          <w:rFonts w:ascii="Times New Roman" w:hAnsi="Times New Roman" w:cs="Times New Roman"/>
        </w:rPr>
        <w:t xml:space="preserve"> </w:t>
      </w:r>
      <w:proofErr w:type="gramStart"/>
      <w:r w:rsidRPr="002C6E3F">
        <w:rPr>
          <w:rFonts w:ascii="Times New Roman" w:hAnsi="Times New Roman" w:cs="Times New Roman"/>
          <w:i/>
        </w:rPr>
        <w:t>Journal of Economic Perspectives.</w:t>
      </w:r>
      <w:proofErr w:type="gramEnd"/>
      <w:r w:rsidRPr="002C6E3F">
        <w:rPr>
          <w:rFonts w:ascii="Times New Roman" w:hAnsi="Times New Roman" w:cs="Times New Roman"/>
          <w:i/>
        </w:rPr>
        <w:t xml:space="preserve"> Volume 25, Number 4. </w:t>
      </w:r>
      <w:proofErr w:type="gramStart"/>
      <w:r w:rsidRPr="002C6E3F">
        <w:rPr>
          <w:rFonts w:ascii="Times New Roman" w:hAnsi="Times New Roman" w:cs="Times New Roman"/>
          <w:i/>
        </w:rPr>
        <w:t>Fall 2011.</w:t>
      </w:r>
      <w:proofErr w:type="gramEnd"/>
      <w:r w:rsidRPr="002C6E3F">
        <w:rPr>
          <w:rFonts w:ascii="Times New Roman" w:hAnsi="Times New Roman" w:cs="Times New Roman"/>
          <w:i/>
        </w:rPr>
        <w:t xml:space="preserve"> </w:t>
      </w:r>
      <w:proofErr w:type="gramStart"/>
      <w:r w:rsidRPr="002C6E3F">
        <w:rPr>
          <w:rFonts w:ascii="Times New Roman" w:hAnsi="Times New Roman" w:cs="Times New Roman"/>
          <w:i/>
        </w:rPr>
        <w:t>Pages 165–190</w:t>
      </w:r>
      <w:r w:rsidRPr="002C6E3F">
        <w:rPr>
          <w:rFonts w:ascii="Times New Roman" w:hAnsi="Times New Roman" w:cs="Times New Roman"/>
        </w:rPr>
        <w:t>.</w:t>
      </w:r>
      <w:proofErr w:type="gramEnd"/>
      <w:r w:rsidR="008D57C5" w:rsidRPr="002C6E3F">
        <w:rPr>
          <w:rFonts w:ascii="Times New Roman" w:hAnsi="Times New Roman" w:cs="Times New Roman"/>
        </w:rPr>
        <w:t xml:space="preserve"> </w:t>
      </w:r>
      <w:hyperlink r:id="rId13" w:history="1">
        <w:r w:rsidR="00AB00DE" w:rsidRPr="002C6E3F">
          <w:rPr>
            <w:rStyle w:val="Hyperlink"/>
            <w:rFonts w:ascii="Times New Roman" w:hAnsi="Times New Roman" w:cs="Times New Roman"/>
          </w:rPr>
          <w:t>http://pubs.aeaweb.org/doi/pdfplus/10.1257/jep.25.4.165</w:t>
        </w:r>
      </w:hyperlink>
    </w:p>
  </w:footnote>
  <w:footnote w:id="16">
    <w:p w:rsidR="00A52795" w:rsidRPr="002C6E3F" w:rsidRDefault="00A52795" w:rsidP="00A52795">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Katharine Bradbury and Jane Katz, “Are lifetime incomes growing more unequal? </w:t>
      </w:r>
      <w:proofErr w:type="gramStart"/>
      <w:r w:rsidRPr="002C6E3F">
        <w:rPr>
          <w:rFonts w:ascii="Times New Roman" w:hAnsi="Times New Roman" w:cs="Times New Roman"/>
        </w:rPr>
        <w:t>Looking at new evidence on family income mobility.”</w:t>
      </w:r>
      <w:proofErr w:type="gramEnd"/>
      <w:r w:rsidR="0015289B" w:rsidRPr="002C6E3F">
        <w:rPr>
          <w:rFonts w:ascii="Times New Roman" w:hAnsi="Times New Roman" w:cs="Times New Roman"/>
          <w:lang w:eastAsia="zh-CN"/>
        </w:rPr>
        <w:t xml:space="preserve"> 2002.</w:t>
      </w:r>
      <w:r w:rsidRPr="002C6E3F">
        <w:rPr>
          <w:rFonts w:ascii="Times New Roman" w:hAnsi="Times New Roman" w:cs="Times New Roman"/>
        </w:rPr>
        <w:t xml:space="preserve"> </w:t>
      </w:r>
      <w:hyperlink r:id="rId14" w:history="1">
        <w:r w:rsidRPr="002C6E3F">
          <w:rPr>
            <w:rStyle w:val="Hyperlink"/>
            <w:rFonts w:ascii="Times New Roman" w:hAnsi="Times New Roman" w:cs="Times New Roman"/>
          </w:rPr>
          <w:t>http://www.bostonfed.org/economic/nerr/rr2002/q4/issues.pdf</w:t>
        </w:r>
      </w:hyperlink>
    </w:p>
  </w:footnote>
  <w:footnote w:id="17">
    <w:p w:rsidR="002917E4" w:rsidRPr="002C6E3F" w:rsidRDefault="002917E4" w:rsidP="002917E4">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proofErr w:type="gramStart"/>
      <w:r w:rsidRPr="002C6E3F">
        <w:rPr>
          <w:rFonts w:ascii="Times New Roman" w:hAnsi="Times New Roman" w:cs="Times New Roman"/>
        </w:rPr>
        <w:t xml:space="preserve">Peter Gottschalk &amp; Sheldon </w:t>
      </w:r>
      <w:proofErr w:type="spellStart"/>
      <w:r w:rsidRPr="002C6E3F">
        <w:rPr>
          <w:rFonts w:ascii="Times New Roman" w:hAnsi="Times New Roman" w:cs="Times New Roman"/>
        </w:rPr>
        <w:t>Danziger</w:t>
      </w:r>
      <w:proofErr w:type="spellEnd"/>
      <w:r w:rsidRPr="002C6E3F">
        <w:rPr>
          <w:rFonts w:ascii="Times New Roman" w:hAnsi="Times New Roman" w:cs="Times New Roman"/>
        </w:rPr>
        <w:t>.</w:t>
      </w:r>
      <w:proofErr w:type="gramEnd"/>
      <w:r w:rsidRPr="002C6E3F">
        <w:rPr>
          <w:rFonts w:ascii="Times New Roman" w:hAnsi="Times New Roman" w:cs="Times New Roman"/>
        </w:rPr>
        <w:t xml:space="preserve"> "Family Income Mobility -- How Much Is There and Has It Changed</w:t>
      </w:r>
      <w:proofErr w:type="gramStart"/>
      <w:r w:rsidRPr="002C6E3F">
        <w:rPr>
          <w:rFonts w:ascii="Times New Roman" w:hAnsi="Times New Roman" w:cs="Times New Roman"/>
        </w:rPr>
        <w:t>?,</w:t>
      </w:r>
      <w:proofErr w:type="gramEnd"/>
      <w:r w:rsidRPr="002C6E3F">
        <w:rPr>
          <w:rFonts w:ascii="Times New Roman" w:hAnsi="Times New Roman" w:cs="Times New Roman"/>
        </w:rPr>
        <w:t>" Boston College Working Papers in Economics 398, Boston College Department of Economics</w:t>
      </w:r>
      <w:r w:rsidR="0015289B" w:rsidRPr="002C6E3F">
        <w:rPr>
          <w:rFonts w:ascii="Times New Roman" w:hAnsi="Times New Roman" w:cs="Times New Roman"/>
        </w:rPr>
        <w:t>, 1997</w:t>
      </w:r>
      <w:r w:rsidR="0015289B" w:rsidRPr="002C6E3F">
        <w:rPr>
          <w:rFonts w:ascii="Times New Roman" w:hAnsi="Times New Roman" w:cs="Times New Roman"/>
          <w:lang w:eastAsia="zh-CN"/>
        </w:rPr>
        <w:t xml:space="preserve">. </w:t>
      </w:r>
      <w:hyperlink r:id="rId15" w:history="1">
        <w:r w:rsidRPr="002C6E3F">
          <w:rPr>
            <w:rStyle w:val="Hyperlink"/>
            <w:rFonts w:ascii="Times New Roman" w:hAnsi="Times New Roman" w:cs="Times New Roman"/>
          </w:rPr>
          <w:t>http://ideas.repec.org/p/boc/bocoec/398.html</w:t>
        </w:r>
      </w:hyperlink>
    </w:p>
  </w:footnote>
  <w:footnote w:id="18">
    <w:p w:rsidR="00996854" w:rsidRPr="002C6E3F" w:rsidRDefault="00996854" w:rsidP="00996854">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proofErr w:type="gramStart"/>
      <w:r w:rsidRPr="002C6E3F">
        <w:rPr>
          <w:rFonts w:ascii="Times New Roman" w:hAnsi="Times New Roman" w:cs="Times New Roman"/>
        </w:rPr>
        <w:t>Gary Solon, “Intergenerational mobility in the labor market</w:t>
      </w:r>
      <w:r w:rsidR="00CD26FC" w:rsidRPr="002C6E3F">
        <w:rPr>
          <w:rFonts w:ascii="Times New Roman" w:hAnsi="Times New Roman" w:cs="Times New Roman"/>
          <w:lang w:eastAsia="zh-CN"/>
        </w:rPr>
        <w:t>,</w:t>
      </w:r>
      <w:r w:rsidRPr="002C6E3F">
        <w:rPr>
          <w:rFonts w:ascii="Times New Roman" w:hAnsi="Times New Roman" w:cs="Times New Roman"/>
        </w:rPr>
        <w:t>”</w:t>
      </w:r>
      <w:r w:rsidR="00CD26FC" w:rsidRPr="002C6E3F">
        <w:rPr>
          <w:rFonts w:ascii="Times New Roman" w:hAnsi="Times New Roman" w:cs="Times New Roman"/>
          <w:lang w:eastAsia="zh-CN"/>
        </w:rPr>
        <w:t xml:space="preserve"> 1999.</w:t>
      </w:r>
      <w:proofErr w:type="gramEnd"/>
      <w:r w:rsidR="00CD26FC" w:rsidRPr="002C6E3F">
        <w:rPr>
          <w:rFonts w:ascii="Times New Roman" w:hAnsi="Times New Roman" w:cs="Times New Roman"/>
          <w:lang w:eastAsia="zh-CN"/>
        </w:rPr>
        <w:t xml:space="preserve"> </w:t>
      </w:r>
      <w:r w:rsidRPr="002C6E3F">
        <w:rPr>
          <w:rFonts w:ascii="Times New Roman" w:hAnsi="Times New Roman" w:cs="Times New Roman"/>
        </w:rPr>
        <w:t xml:space="preserve"> </w:t>
      </w:r>
      <w:hyperlink r:id="rId16" w:history="1">
        <w:r w:rsidRPr="002C6E3F">
          <w:rPr>
            <w:rStyle w:val="Hyperlink"/>
            <w:rFonts w:ascii="Times New Roman" w:hAnsi="Times New Roman" w:cs="Times New Roman"/>
          </w:rPr>
          <w:t>http://ideas.repec.org/h/eee/labchp/3-29.html</w:t>
        </w:r>
      </w:hyperlink>
    </w:p>
  </w:footnote>
  <w:footnote w:id="19">
    <w:p w:rsidR="00996854" w:rsidRPr="002C6E3F" w:rsidRDefault="00996854" w:rsidP="00996854">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Samuel Bowles and Herbert </w:t>
      </w:r>
      <w:proofErr w:type="spellStart"/>
      <w:r w:rsidRPr="002C6E3F">
        <w:rPr>
          <w:rFonts w:ascii="Times New Roman" w:hAnsi="Times New Roman" w:cs="Times New Roman"/>
        </w:rPr>
        <w:t>Gintis</w:t>
      </w:r>
      <w:proofErr w:type="spellEnd"/>
      <w:r w:rsidRPr="002C6E3F">
        <w:rPr>
          <w:rFonts w:ascii="Times New Roman" w:hAnsi="Times New Roman" w:cs="Times New Roman"/>
        </w:rPr>
        <w:t>, “The Inheritance of Inequality</w:t>
      </w:r>
      <w:r w:rsidR="00CD26FC" w:rsidRPr="002C6E3F">
        <w:rPr>
          <w:rFonts w:ascii="Times New Roman" w:hAnsi="Times New Roman" w:cs="Times New Roman"/>
          <w:lang w:eastAsia="zh-CN"/>
        </w:rPr>
        <w:t>,</w:t>
      </w:r>
      <w:r w:rsidRPr="002C6E3F">
        <w:rPr>
          <w:rFonts w:ascii="Times New Roman" w:hAnsi="Times New Roman" w:cs="Times New Roman"/>
        </w:rPr>
        <w:t>”</w:t>
      </w:r>
      <w:r w:rsidR="00CD26FC" w:rsidRPr="002C6E3F">
        <w:rPr>
          <w:rFonts w:ascii="Times New Roman" w:hAnsi="Times New Roman" w:cs="Times New Roman"/>
          <w:lang w:eastAsia="zh-CN"/>
        </w:rPr>
        <w:t xml:space="preserve"> July 2012.</w:t>
      </w:r>
      <w:r w:rsidRPr="002C6E3F">
        <w:rPr>
          <w:rFonts w:ascii="Times New Roman" w:hAnsi="Times New Roman" w:cs="Times New Roman"/>
        </w:rPr>
        <w:t xml:space="preserve"> </w:t>
      </w:r>
      <w:hyperlink r:id="rId17" w:history="1">
        <w:r w:rsidRPr="002C6E3F">
          <w:rPr>
            <w:rStyle w:val="Hyperlink"/>
            <w:rFonts w:ascii="Times New Roman" w:hAnsi="Times New Roman" w:cs="Times New Roman"/>
          </w:rPr>
          <w:t>http://www.umass.edu/preferen/gintis/intergen.pdf</w:t>
        </w:r>
      </w:hyperlink>
    </w:p>
  </w:footnote>
  <w:footnote w:id="20">
    <w:p w:rsidR="00EF049C" w:rsidRPr="002C6E3F" w:rsidRDefault="00EF049C" w:rsidP="00EF049C">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Tom Hertz, “Understanding Mobility in America</w:t>
      </w:r>
      <w:r w:rsidR="00230215" w:rsidRPr="002C6E3F">
        <w:rPr>
          <w:rFonts w:ascii="Times New Roman" w:hAnsi="Times New Roman" w:cs="Times New Roman"/>
          <w:lang w:eastAsia="zh-CN"/>
        </w:rPr>
        <w:t>,</w:t>
      </w:r>
      <w:r w:rsidRPr="002C6E3F">
        <w:rPr>
          <w:rFonts w:ascii="Times New Roman" w:hAnsi="Times New Roman" w:cs="Times New Roman"/>
        </w:rPr>
        <w:t>”</w:t>
      </w:r>
      <w:r w:rsidR="00230215" w:rsidRPr="002C6E3F">
        <w:rPr>
          <w:rFonts w:ascii="Times New Roman" w:hAnsi="Times New Roman" w:cs="Times New Roman"/>
          <w:lang w:eastAsia="zh-CN"/>
        </w:rPr>
        <w:t xml:space="preserve"> Apr 2006.</w:t>
      </w:r>
      <w:r w:rsidRPr="002C6E3F">
        <w:rPr>
          <w:rFonts w:ascii="Times New Roman" w:hAnsi="Times New Roman" w:cs="Times New Roman"/>
        </w:rPr>
        <w:t xml:space="preserve"> </w:t>
      </w:r>
      <w:hyperlink r:id="rId18" w:history="1">
        <w:r w:rsidR="00230215" w:rsidRPr="002C6E3F">
          <w:rPr>
            <w:rStyle w:val="Hyperlink"/>
            <w:rFonts w:ascii="Times New Roman" w:hAnsi="Times New Roman" w:cs="Times New Roman"/>
          </w:rPr>
          <w:t>http://citeseerx.ist.psu.edu/viewdoc/download?doi=10.1.1.107.5196&amp;rep=rep1&amp;type=pdf</w:t>
        </w:r>
      </w:hyperlink>
    </w:p>
  </w:footnote>
  <w:footnote w:id="21">
    <w:p w:rsidR="008A37CE" w:rsidRPr="002C6E3F" w:rsidRDefault="00991F2F">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proofErr w:type="gramStart"/>
      <w:r w:rsidR="00D870F8" w:rsidRPr="002C6E3F">
        <w:rPr>
          <w:rFonts w:ascii="Times New Roman" w:hAnsi="Times New Roman" w:cs="Times New Roman"/>
        </w:rPr>
        <w:t>The PEW Charitable Trusts.</w:t>
      </w:r>
      <w:proofErr w:type="gramEnd"/>
      <w:r w:rsidR="00D870F8" w:rsidRPr="002C6E3F">
        <w:rPr>
          <w:rFonts w:ascii="Times New Roman" w:hAnsi="Times New Roman" w:cs="Times New Roman"/>
        </w:rPr>
        <w:t xml:space="preserve"> </w:t>
      </w:r>
      <w:proofErr w:type="gramStart"/>
      <w:r w:rsidR="00D870F8" w:rsidRPr="002C6E3F">
        <w:rPr>
          <w:rFonts w:ascii="Times New Roman" w:hAnsi="Times New Roman" w:cs="Times New Roman"/>
        </w:rPr>
        <w:t>“Moving on up.”</w:t>
      </w:r>
      <w:proofErr w:type="gramEnd"/>
      <w:r w:rsidR="00D870F8" w:rsidRPr="002C6E3F">
        <w:rPr>
          <w:rFonts w:ascii="Times New Roman" w:hAnsi="Times New Roman" w:cs="Times New Roman"/>
        </w:rPr>
        <w:t xml:space="preserve"> Nov, 2013. </w:t>
      </w:r>
      <w:hyperlink r:id="rId19" w:history="1">
        <w:r w:rsidR="008A37CE" w:rsidRPr="002C6E3F">
          <w:rPr>
            <w:rStyle w:val="Hyperlink"/>
            <w:rFonts w:ascii="Times New Roman" w:hAnsi="Times New Roman" w:cs="Times New Roman"/>
          </w:rPr>
          <w:t>http://www.pewstates.org/uploadedFiles/PCS/Content-Level_Pages/Reports/2013/Moving_On_Up.pdf</w:t>
        </w:r>
      </w:hyperlink>
    </w:p>
  </w:footnote>
  <w:footnote w:id="22">
    <w:p w:rsidR="00186703" w:rsidRPr="002C6E3F" w:rsidRDefault="00A37D87">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proofErr w:type="gramStart"/>
      <w:r w:rsidR="00D6721B" w:rsidRPr="002C6E3F">
        <w:rPr>
          <w:rFonts w:ascii="Times New Roman" w:hAnsi="Times New Roman" w:cs="Times New Roman"/>
        </w:rPr>
        <w:t>The PEW Charitable Trusts.</w:t>
      </w:r>
      <w:proofErr w:type="gramEnd"/>
      <w:r w:rsidR="00D6721B" w:rsidRPr="002C6E3F">
        <w:rPr>
          <w:rFonts w:ascii="Times New Roman" w:hAnsi="Times New Roman" w:cs="Times New Roman"/>
        </w:rPr>
        <w:t xml:space="preserve"> </w:t>
      </w:r>
      <w:proofErr w:type="gramStart"/>
      <w:r w:rsidR="00D6721B" w:rsidRPr="002C6E3F">
        <w:rPr>
          <w:rFonts w:ascii="Times New Roman" w:hAnsi="Times New Roman" w:cs="Times New Roman"/>
        </w:rPr>
        <w:t>“Mobility and the Metropolis.”</w:t>
      </w:r>
      <w:proofErr w:type="gramEnd"/>
      <w:r w:rsidR="00D6721B" w:rsidRPr="002C6E3F">
        <w:rPr>
          <w:rFonts w:ascii="Times New Roman" w:hAnsi="Times New Roman" w:cs="Times New Roman"/>
        </w:rPr>
        <w:t xml:space="preserve"> Dec, 2013. </w:t>
      </w:r>
      <w:hyperlink r:id="rId20" w:history="1">
        <w:r w:rsidR="00186703" w:rsidRPr="002C6E3F">
          <w:rPr>
            <w:rStyle w:val="Hyperlink"/>
            <w:rFonts w:ascii="Times New Roman" w:hAnsi="Times New Roman" w:cs="Times New Roman"/>
          </w:rPr>
          <w:t>http://www.pewstates.org/uploadedFiles/PCS_Assets/2013/Mobility-and-the-Metropolis.pdf</w:t>
        </w:r>
      </w:hyperlink>
    </w:p>
  </w:footnote>
  <w:footnote w:id="23">
    <w:p w:rsidR="00A757B8" w:rsidRPr="002C6E3F" w:rsidRDefault="009A3923">
      <w:pPr>
        <w:pStyle w:val="FootnoteText"/>
        <w:rPr>
          <w:rFonts w:ascii="Times New Roman" w:hAnsi="Times New Roman" w:cs="Times New Roman"/>
        </w:rPr>
      </w:pPr>
      <w:r w:rsidRPr="002C6E3F">
        <w:rPr>
          <w:rStyle w:val="FootnoteReference"/>
          <w:rFonts w:ascii="Times New Roman" w:hAnsi="Times New Roman" w:cs="Times New Roman"/>
        </w:rPr>
        <w:footnoteRef/>
      </w:r>
      <w:r w:rsidRPr="002C6E3F">
        <w:rPr>
          <w:rFonts w:ascii="Times New Roman" w:hAnsi="Times New Roman" w:cs="Times New Roman"/>
        </w:rPr>
        <w:t xml:space="preserve"> </w:t>
      </w:r>
      <w:r w:rsidR="006F20BA" w:rsidRPr="002C6E3F">
        <w:rPr>
          <w:rFonts w:ascii="Times New Roman" w:hAnsi="Times New Roman" w:cs="Times New Roman"/>
        </w:rPr>
        <w:t xml:space="preserve">Robert Gordon and Ian Dew-Becker, “Controversies about the Rise of American Inequality: A Survey.” April, 2008. </w:t>
      </w:r>
      <w:hyperlink r:id="rId21" w:history="1">
        <w:r w:rsidR="00A757B8" w:rsidRPr="002C6E3F">
          <w:rPr>
            <w:rStyle w:val="Hyperlink"/>
            <w:rFonts w:ascii="Times New Roman" w:hAnsi="Times New Roman" w:cs="Times New Roman"/>
          </w:rPr>
          <w:t>http://www.nber.org/papers/w13982.pdf?new_window=1</w:t>
        </w:r>
      </w:hyperlink>
    </w:p>
  </w:footnote>
  <w:footnote w:id="24">
    <w:p w:rsidR="006F20BA" w:rsidRPr="00474B62" w:rsidRDefault="006F20BA" w:rsidP="006F20BA">
      <w:pPr>
        <w:pStyle w:val="FootnoteText"/>
        <w:rPr>
          <w:rFonts w:ascii="Times New Roman" w:hAnsi="Times New Roman" w:cs="Times New Roman"/>
        </w:rPr>
      </w:pPr>
      <w:r w:rsidRPr="00474B62">
        <w:rPr>
          <w:rStyle w:val="FootnoteReference"/>
          <w:rFonts w:ascii="Times New Roman" w:hAnsi="Times New Roman" w:cs="Times New Roman"/>
        </w:rPr>
        <w:footnoteRef/>
      </w:r>
      <w:r w:rsidRPr="00474B62">
        <w:rPr>
          <w:rFonts w:ascii="Times New Roman" w:hAnsi="Times New Roman" w:cs="Times New Roman"/>
        </w:rPr>
        <w:t xml:space="preserve"> </w:t>
      </w:r>
      <w:r w:rsidR="00EE3CDB" w:rsidRPr="00474B62">
        <w:rPr>
          <w:rFonts w:ascii="Times New Roman" w:hAnsi="Times New Roman" w:cs="Times New Roman"/>
        </w:rPr>
        <w:t xml:space="preserve">Claudia </w:t>
      </w:r>
      <w:proofErr w:type="spellStart"/>
      <w:r w:rsidR="00EE3CDB" w:rsidRPr="00474B62">
        <w:rPr>
          <w:rFonts w:ascii="Times New Roman" w:hAnsi="Times New Roman" w:cs="Times New Roman"/>
        </w:rPr>
        <w:t>Goldin</w:t>
      </w:r>
      <w:proofErr w:type="spellEnd"/>
      <w:r w:rsidR="00EE3CDB" w:rsidRPr="00474B62">
        <w:rPr>
          <w:rFonts w:ascii="Times New Roman" w:hAnsi="Times New Roman" w:cs="Times New Roman"/>
        </w:rPr>
        <w:t xml:space="preserve"> and Lawrence Katz, “The Future of Inequality: The Other Reason Education Matters So Much.” 2008. </w:t>
      </w:r>
      <w:hyperlink r:id="rId22" w:history="1">
        <w:r w:rsidRPr="00474B62">
          <w:rPr>
            <w:rStyle w:val="Hyperlink"/>
            <w:rFonts w:ascii="Times New Roman" w:hAnsi="Times New Roman" w:cs="Times New Roman"/>
          </w:rPr>
          <w:t>http://ideas.repec.org/p/hrv/faseco/4341691.html</w:t>
        </w:r>
      </w:hyperlink>
    </w:p>
  </w:footnote>
  <w:footnote w:id="25">
    <w:p w:rsidR="001523E3" w:rsidRPr="00474B62" w:rsidRDefault="00E8373E">
      <w:pPr>
        <w:pStyle w:val="FootnoteText"/>
        <w:rPr>
          <w:rFonts w:ascii="Times New Roman" w:hAnsi="Times New Roman" w:cs="Times New Roman"/>
        </w:rPr>
      </w:pPr>
      <w:r w:rsidRPr="00474B62">
        <w:rPr>
          <w:rStyle w:val="FootnoteReference"/>
          <w:rFonts w:ascii="Times New Roman" w:hAnsi="Times New Roman" w:cs="Times New Roman"/>
        </w:rPr>
        <w:footnoteRef/>
      </w:r>
      <w:r w:rsidRPr="00474B62">
        <w:rPr>
          <w:rFonts w:ascii="Times New Roman" w:hAnsi="Times New Roman" w:cs="Times New Roman"/>
        </w:rPr>
        <w:t xml:space="preserve"> </w:t>
      </w:r>
      <w:proofErr w:type="gramStart"/>
      <w:r w:rsidR="0051163B" w:rsidRPr="00474B62">
        <w:rPr>
          <w:rFonts w:ascii="Times New Roman" w:hAnsi="Times New Roman" w:cs="Times New Roman"/>
        </w:rPr>
        <w:t>Martin Feldstein, “</w:t>
      </w:r>
      <w:r w:rsidR="00A73555" w:rsidRPr="00474B62">
        <w:rPr>
          <w:rFonts w:ascii="Times New Roman" w:hAnsi="Times New Roman" w:cs="Times New Roman"/>
        </w:rPr>
        <w:t>Income Inequality and Poverty.</w:t>
      </w:r>
      <w:r w:rsidR="0051163B" w:rsidRPr="00474B62">
        <w:rPr>
          <w:rFonts w:ascii="Times New Roman" w:hAnsi="Times New Roman" w:cs="Times New Roman"/>
        </w:rPr>
        <w:t>”</w:t>
      </w:r>
      <w:proofErr w:type="gramEnd"/>
      <w:r w:rsidR="0051163B" w:rsidRPr="00474B62">
        <w:rPr>
          <w:rFonts w:ascii="Times New Roman" w:hAnsi="Times New Roman" w:cs="Times New Roman"/>
        </w:rPr>
        <w:t xml:space="preserve"> Oct, 1998. </w:t>
      </w:r>
      <w:hyperlink r:id="rId23" w:history="1">
        <w:r w:rsidR="001523E3" w:rsidRPr="00474B62">
          <w:rPr>
            <w:rStyle w:val="Hyperlink"/>
            <w:rFonts w:ascii="Times New Roman" w:hAnsi="Times New Roman" w:cs="Times New Roman"/>
          </w:rPr>
          <w:t>http://www.nber.org/papers/w6770.pdf?new_window=1</w:t>
        </w:r>
      </w:hyperlink>
    </w:p>
  </w:footnote>
  <w:footnote w:id="26">
    <w:p w:rsidR="00A90812" w:rsidRPr="00474B62" w:rsidRDefault="00A90812" w:rsidP="00474B62">
      <w:pPr>
        <w:pStyle w:val="FootnoteText"/>
        <w:jc w:val="both"/>
        <w:rPr>
          <w:rFonts w:ascii="Times New Roman" w:hAnsi="Times New Roman" w:cs="Times New Roman"/>
        </w:rPr>
      </w:pPr>
      <w:r w:rsidRPr="00474B62">
        <w:rPr>
          <w:rStyle w:val="FootnoteReference"/>
          <w:rFonts w:ascii="Times New Roman" w:hAnsi="Times New Roman" w:cs="Times New Roman"/>
        </w:rPr>
        <w:footnoteRef/>
      </w:r>
      <w:r w:rsidRPr="00474B62">
        <w:rPr>
          <w:rFonts w:ascii="Times New Roman" w:hAnsi="Times New Roman" w:cs="Times New Roman"/>
        </w:rPr>
        <w:t xml:space="preserve"> </w:t>
      </w:r>
      <w:proofErr w:type="gramStart"/>
      <w:r w:rsidR="008C0E69" w:rsidRPr="00474B62">
        <w:rPr>
          <w:rFonts w:ascii="Times New Roman" w:hAnsi="Times New Roman" w:cs="Times New Roman"/>
        </w:rPr>
        <w:t xml:space="preserve">Lawrence F. Katz, </w:t>
      </w:r>
      <w:r w:rsidR="00D94523" w:rsidRPr="00474B62">
        <w:rPr>
          <w:rFonts w:ascii="Times New Roman" w:hAnsi="Times New Roman" w:cs="Times New Roman"/>
        </w:rPr>
        <w:t>“Wage Subsidies for the Disadvantaged.”</w:t>
      </w:r>
      <w:proofErr w:type="gramEnd"/>
      <w:r w:rsidR="00D94523" w:rsidRPr="00474B62">
        <w:rPr>
          <w:rFonts w:ascii="Times New Roman" w:hAnsi="Times New Roman" w:cs="Times New Roman"/>
        </w:rPr>
        <w:t xml:space="preserve"> </w:t>
      </w:r>
      <w:proofErr w:type="gramStart"/>
      <w:r w:rsidR="00D94523" w:rsidRPr="00474B62">
        <w:rPr>
          <w:rFonts w:ascii="Times New Roman" w:hAnsi="Times New Roman" w:cs="Times New Roman"/>
        </w:rPr>
        <w:t>NBER Working Paper No. 5679</w:t>
      </w:r>
      <w:r w:rsidR="005D41DA" w:rsidRPr="00474B62">
        <w:rPr>
          <w:rFonts w:ascii="Times New Roman" w:hAnsi="Times New Roman" w:cs="Times New Roman"/>
        </w:rPr>
        <w:t>.</w:t>
      </w:r>
      <w:proofErr w:type="gramEnd"/>
      <w:r w:rsidR="005D41DA" w:rsidRPr="00474B62">
        <w:rPr>
          <w:rFonts w:ascii="Times New Roman" w:hAnsi="Times New Roman" w:cs="Times New Roman"/>
        </w:rPr>
        <w:t xml:space="preserve"> </w:t>
      </w:r>
      <w:r w:rsidR="00D94523" w:rsidRPr="00474B62">
        <w:rPr>
          <w:rFonts w:ascii="Times New Roman" w:hAnsi="Times New Roman" w:cs="Times New Roman"/>
        </w:rPr>
        <w:t xml:space="preserve">July, 1996. </w:t>
      </w:r>
      <w:hyperlink r:id="rId24" w:history="1">
        <w:r w:rsidRPr="00474B62">
          <w:rPr>
            <w:rStyle w:val="Hyperlink"/>
            <w:rFonts w:ascii="Times New Roman" w:hAnsi="Times New Roman" w:cs="Times New Roman"/>
          </w:rPr>
          <w:t>http://www.nber.org/papers/w5679</w:t>
        </w:r>
      </w:hyperlink>
      <w:r w:rsidR="003E1DBB" w:rsidRPr="00474B62">
        <w:rPr>
          <w:rFonts w:ascii="Times New Roman" w:hAnsi="Times New Roman" w:cs="Times New Roman"/>
        </w:rPr>
        <w:t xml:space="preserve">, </w:t>
      </w:r>
    </w:p>
  </w:footnote>
  <w:footnote w:id="27">
    <w:p w:rsidR="008F726E" w:rsidRPr="00474B62" w:rsidRDefault="008F726E" w:rsidP="00474B62">
      <w:pPr>
        <w:pStyle w:val="FootnoteText"/>
        <w:jc w:val="both"/>
        <w:rPr>
          <w:rFonts w:ascii="Times New Roman" w:hAnsi="Times New Roman" w:cs="Times New Roman"/>
        </w:rPr>
      </w:pPr>
      <w:r w:rsidRPr="00474B62">
        <w:rPr>
          <w:rStyle w:val="FootnoteReference"/>
          <w:rFonts w:ascii="Times New Roman" w:hAnsi="Times New Roman" w:cs="Times New Roman"/>
        </w:rPr>
        <w:footnoteRef/>
      </w:r>
      <w:r w:rsidRPr="00474B62">
        <w:rPr>
          <w:rFonts w:ascii="Times New Roman" w:hAnsi="Times New Roman" w:cs="Times New Roman"/>
        </w:rPr>
        <w:t xml:space="preserve"> Also see the Capitol Hill Times, “Wage subsidy outsmarts a $15 Minimum.” Jan, 2014. </w:t>
      </w:r>
      <w:hyperlink r:id="rId25" w:history="1">
        <w:r w:rsidRPr="00474B62">
          <w:rPr>
            <w:rStyle w:val="Hyperlink"/>
            <w:rFonts w:ascii="Times New Roman" w:hAnsi="Times New Roman" w:cs="Times New Roman"/>
          </w:rPr>
          <w:t>http://www.capitolhilltimes.com/2014/01/wage-subsidy-outsmarts-15-minimum/</w:t>
        </w:r>
      </w:hyperlink>
    </w:p>
  </w:footnote>
  <w:footnote w:id="28">
    <w:p w:rsidR="00A90812" w:rsidRPr="00474B62" w:rsidRDefault="00A90812" w:rsidP="00474B62">
      <w:pPr>
        <w:pStyle w:val="FootnoteText"/>
        <w:jc w:val="both"/>
        <w:rPr>
          <w:rFonts w:ascii="Times New Roman" w:hAnsi="Times New Roman" w:cs="Times New Roman"/>
        </w:rPr>
      </w:pPr>
      <w:r w:rsidRPr="00474B62">
        <w:rPr>
          <w:rStyle w:val="FootnoteReference"/>
          <w:rFonts w:ascii="Times New Roman" w:hAnsi="Times New Roman" w:cs="Times New Roman"/>
        </w:rPr>
        <w:footnoteRef/>
      </w:r>
      <w:r w:rsidRPr="00474B62">
        <w:rPr>
          <w:rFonts w:ascii="Times New Roman" w:hAnsi="Times New Roman" w:cs="Times New Roman"/>
        </w:rPr>
        <w:t xml:space="preserve"> </w:t>
      </w:r>
      <w:hyperlink r:id="rId26" w:history="1">
        <w:r w:rsidRPr="00474B62">
          <w:rPr>
            <w:rStyle w:val="Hyperlink"/>
            <w:rFonts w:ascii="Times New Roman" w:hAnsi="Times New Roman" w:cs="Times New Roman"/>
          </w:rPr>
          <w:t>http://www.edd.ca.gov/pdf_pub_ctr/de8714bb.pdf</w:t>
        </w:r>
      </w:hyperlink>
    </w:p>
  </w:footnote>
  <w:footnote w:id="29">
    <w:p w:rsidR="0022516E" w:rsidRPr="00474B62" w:rsidRDefault="0022516E" w:rsidP="00474B62">
      <w:pPr>
        <w:spacing w:after="0"/>
        <w:jc w:val="both"/>
        <w:rPr>
          <w:rFonts w:ascii="Times New Roman" w:hAnsi="Times New Roman" w:cs="Times New Roman"/>
          <w:sz w:val="20"/>
          <w:szCs w:val="20"/>
        </w:rPr>
      </w:pPr>
      <w:r w:rsidRPr="00474B62">
        <w:rPr>
          <w:rStyle w:val="FootnoteReference"/>
          <w:rFonts w:ascii="Times New Roman" w:hAnsi="Times New Roman" w:cs="Times New Roman"/>
          <w:sz w:val="20"/>
          <w:szCs w:val="20"/>
        </w:rPr>
        <w:footnoteRef/>
      </w:r>
      <w:r w:rsidRPr="00474B62">
        <w:rPr>
          <w:rFonts w:ascii="Times New Roman" w:hAnsi="Times New Roman" w:cs="Times New Roman"/>
          <w:sz w:val="20"/>
          <w:szCs w:val="20"/>
        </w:rPr>
        <w:t xml:space="preserve"> Further, there is substantial evidence to suggest that there are negative employment effects, particularly for low-skilled workers of raising minimum wages. </w:t>
      </w:r>
      <w:r w:rsidR="001C3AE7" w:rsidRPr="00474B62">
        <w:rPr>
          <w:rFonts w:ascii="Times New Roman" w:hAnsi="Times New Roman" w:cs="Times New Roman"/>
          <w:sz w:val="20"/>
          <w:szCs w:val="20"/>
        </w:rPr>
        <w:t xml:space="preserve">A recent 2009 paper by David </w:t>
      </w:r>
      <w:proofErr w:type="spellStart"/>
      <w:r w:rsidR="001C3AE7" w:rsidRPr="00474B62">
        <w:rPr>
          <w:rFonts w:ascii="Times New Roman" w:hAnsi="Times New Roman" w:cs="Times New Roman"/>
          <w:sz w:val="20"/>
          <w:szCs w:val="20"/>
        </w:rPr>
        <w:t>Neu</w:t>
      </w:r>
      <w:r w:rsidRPr="00474B62">
        <w:rPr>
          <w:rFonts w:ascii="Times New Roman" w:hAnsi="Times New Roman" w:cs="Times New Roman"/>
          <w:sz w:val="20"/>
          <w:szCs w:val="20"/>
        </w:rPr>
        <w:t>mark</w:t>
      </w:r>
      <w:proofErr w:type="spellEnd"/>
      <w:r w:rsidRPr="00474B62">
        <w:rPr>
          <w:rFonts w:ascii="Times New Roman" w:hAnsi="Times New Roman" w:cs="Times New Roman"/>
          <w:sz w:val="20"/>
          <w:szCs w:val="20"/>
        </w:rPr>
        <w:t xml:space="preserve"> suggests that employers often take back the increases that come with higher minimum wages in future years by forgoing the usual nominal wage increases that would have happened.</w:t>
      </w:r>
    </w:p>
  </w:footnote>
  <w:footnote w:id="30">
    <w:p w:rsidR="001E4E71" w:rsidRPr="00474B62" w:rsidRDefault="001E4E71" w:rsidP="00474B62">
      <w:pPr>
        <w:pStyle w:val="FootnoteText"/>
        <w:jc w:val="both"/>
        <w:rPr>
          <w:rFonts w:ascii="Times New Roman" w:hAnsi="Times New Roman" w:cs="Times New Roman"/>
        </w:rPr>
      </w:pPr>
      <w:r w:rsidRPr="00474B62">
        <w:rPr>
          <w:rStyle w:val="FootnoteReference"/>
          <w:rFonts w:ascii="Times New Roman" w:hAnsi="Times New Roman" w:cs="Times New Roman"/>
        </w:rPr>
        <w:footnoteRef/>
      </w:r>
      <w:r w:rsidRPr="00474B62">
        <w:rPr>
          <w:rFonts w:ascii="Times New Roman" w:hAnsi="Times New Roman" w:cs="Times New Roman"/>
        </w:rPr>
        <w:t xml:space="preserve"> </w:t>
      </w:r>
      <w:hyperlink r:id="rId27" w:history="1">
        <w:r w:rsidRPr="00474B62">
          <w:rPr>
            <w:rStyle w:val="Hyperlink"/>
            <w:rFonts w:ascii="Times New Roman" w:hAnsi="Times New Roman" w:cs="Times New Roman"/>
          </w:rPr>
          <w:t>http://www.bls.gov/cps/minwage2012.htm</w:t>
        </w:r>
      </w:hyperlink>
    </w:p>
  </w:footnote>
  <w:footnote w:id="31">
    <w:p w:rsidR="005A1295" w:rsidRPr="00474B62" w:rsidRDefault="00F748AE">
      <w:pPr>
        <w:pStyle w:val="FootnoteText"/>
        <w:rPr>
          <w:rFonts w:ascii="Times New Roman" w:hAnsi="Times New Roman" w:cs="Times New Roman"/>
        </w:rPr>
      </w:pPr>
      <w:r w:rsidRPr="00474B62">
        <w:rPr>
          <w:rStyle w:val="FootnoteReference"/>
          <w:rFonts w:ascii="Times New Roman" w:hAnsi="Times New Roman" w:cs="Times New Roman"/>
        </w:rPr>
        <w:footnoteRef/>
      </w:r>
      <w:r w:rsidRPr="00474B62">
        <w:rPr>
          <w:rFonts w:ascii="Times New Roman" w:hAnsi="Times New Roman" w:cs="Times New Roman"/>
        </w:rPr>
        <w:t xml:space="preserve"> David </w:t>
      </w:r>
      <w:proofErr w:type="spellStart"/>
      <w:r w:rsidRPr="00474B62">
        <w:rPr>
          <w:rFonts w:ascii="Times New Roman" w:hAnsi="Times New Roman" w:cs="Times New Roman"/>
        </w:rPr>
        <w:t>Neumark</w:t>
      </w:r>
      <w:proofErr w:type="spellEnd"/>
      <w:r w:rsidRPr="00474B62">
        <w:rPr>
          <w:rFonts w:ascii="Times New Roman" w:hAnsi="Times New Roman" w:cs="Times New Roman"/>
        </w:rPr>
        <w:t>, 2009. "Alternative Labor Market Policies to Increase Economic Self-Sufficiency: Mandating Higher Wages, Subsidizing Employment, and Increasing Productivity," NBER Working Papers 14807, National Bureau of Economic Research, Inc.</w:t>
      </w:r>
      <w:r w:rsidR="005E35DE" w:rsidRPr="00474B62">
        <w:rPr>
          <w:rFonts w:ascii="Times New Roman" w:hAnsi="Times New Roman" w:cs="Times New Roman"/>
        </w:rPr>
        <w:t xml:space="preserve"> </w:t>
      </w:r>
      <w:hyperlink r:id="rId28" w:history="1">
        <w:r w:rsidR="005A1295" w:rsidRPr="00474B62">
          <w:rPr>
            <w:rStyle w:val="Hyperlink"/>
            <w:rFonts w:ascii="Times New Roman" w:hAnsi="Times New Roman" w:cs="Times New Roman"/>
          </w:rPr>
          <w:t>http://ideas.repec.org/p/nbr/nberwo/14807.html</w:t>
        </w:r>
      </w:hyperlink>
    </w:p>
  </w:footnote>
  <w:footnote w:id="32">
    <w:p w:rsidR="00BC17F7" w:rsidRPr="00BC17F7" w:rsidRDefault="00BC17F7">
      <w:pPr>
        <w:pStyle w:val="FootnoteText"/>
        <w:rPr>
          <w:rFonts w:ascii="Times New Roman" w:hAnsi="Times New Roman" w:cs="Times New Roman"/>
        </w:rPr>
      </w:pPr>
      <w:r w:rsidRPr="00BC17F7">
        <w:rPr>
          <w:rStyle w:val="FootnoteReference"/>
          <w:rFonts w:ascii="Times New Roman" w:hAnsi="Times New Roman" w:cs="Times New Roman"/>
        </w:rPr>
        <w:footnoteRef/>
      </w:r>
      <w:r w:rsidRPr="00BC17F7">
        <w:rPr>
          <w:rFonts w:ascii="Times New Roman" w:hAnsi="Times New Roman" w:cs="Times New Roman"/>
        </w:rPr>
        <w:t xml:space="preserve"> A back of the envelope calculation by my colleague Abby McCloskey suggests that raising the mini</w:t>
      </w:r>
      <w:r w:rsidR="00571997">
        <w:rPr>
          <w:rFonts w:ascii="Times New Roman" w:hAnsi="Times New Roman" w:cs="Times New Roman"/>
        </w:rPr>
        <w:t>mum wage would affect slightly less than 2</w:t>
      </w:r>
      <w:r w:rsidRPr="00BC17F7">
        <w:rPr>
          <w:rFonts w:ascii="Times New Roman" w:hAnsi="Times New Roman" w:cs="Times New Roman"/>
        </w:rPr>
        <w:t xml:space="preserve"> percent of the population in poverty. </w:t>
      </w:r>
    </w:p>
  </w:footnote>
  <w:footnote w:id="33">
    <w:p w:rsidR="006B30D7" w:rsidRDefault="006B30D7">
      <w:pPr>
        <w:pStyle w:val="FootnoteText"/>
      </w:pPr>
      <w:r w:rsidRPr="00474B62">
        <w:rPr>
          <w:rStyle w:val="FootnoteReference"/>
          <w:rFonts w:ascii="Times New Roman" w:hAnsi="Times New Roman" w:cs="Times New Roman"/>
        </w:rPr>
        <w:footnoteRef/>
      </w:r>
      <w:r w:rsidRPr="00474B62">
        <w:rPr>
          <w:rFonts w:ascii="Times New Roman" w:hAnsi="Times New Roman" w:cs="Times New Roman"/>
        </w:rPr>
        <w:t xml:space="preserve"> </w:t>
      </w:r>
      <w:hyperlink r:id="rId29" w:history="1">
        <w:r w:rsidRPr="00474B62">
          <w:rPr>
            <w:rStyle w:val="Hyperlink"/>
            <w:rFonts w:ascii="Times New Roman" w:hAnsi="Times New Roman" w:cs="Times New Roman"/>
          </w:rPr>
          <w:t>http://www.treasury.gov/tigta/press/press_tigta-2013-33.htm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B57D2"/>
    <w:multiLevelType w:val="hybridMultilevel"/>
    <w:tmpl w:val="D4F8B1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1CA"/>
    <w:rsid w:val="000039CD"/>
    <w:rsid w:val="00005230"/>
    <w:rsid w:val="00021997"/>
    <w:rsid w:val="000234EE"/>
    <w:rsid w:val="000254B6"/>
    <w:rsid w:val="000315E4"/>
    <w:rsid w:val="00056490"/>
    <w:rsid w:val="00065DBF"/>
    <w:rsid w:val="00067386"/>
    <w:rsid w:val="00080138"/>
    <w:rsid w:val="000813CF"/>
    <w:rsid w:val="0008175F"/>
    <w:rsid w:val="0008466D"/>
    <w:rsid w:val="00096380"/>
    <w:rsid w:val="000A3BF6"/>
    <w:rsid w:val="000B26AE"/>
    <w:rsid w:val="000B68A3"/>
    <w:rsid w:val="000C204B"/>
    <w:rsid w:val="000D5621"/>
    <w:rsid w:val="001028C4"/>
    <w:rsid w:val="00123FE9"/>
    <w:rsid w:val="001262EC"/>
    <w:rsid w:val="001308FA"/>
    <w:rsid w:val="00146DAE"/>
    <w:rsid w:val="00150CAC"/>
    <w:rsid w:val="001523E3"/>
    <w:rsid w:val="0015289B"/>
    <w:rsid w:val="00153F01"/>
    <w:rsid w:val="00162487"/>
    <w:rsid w:val="001708BD"/>
    <w:rsid w:val="001722A1"/>
    <w:rsid w:val="00175071"/>
    <w:rsid w:val="00181AFB"/>
    <w:rsid w:val="00186703"/>
    <w:rsid w:val="001B6420"/>
    <w:rsid w:val="001C3AE7"/>
    <w:rsid w:val="001D6ECB"/>
    <w:rsid w:val="001E4E71"/>
    <w:rsid w:val="001F46DF"/>
    <w:rsid w:val="001F6775"/>
    <w:rsid w:val="00222419"/>
    <w:rsid w:val="0022516E"/>
    <w:rsid w:val="002274CD"/>
    <w:rsid w:val="00230215"/>
    <w:rsid w:val="002470B5"/>
    <w:rsid w:val="002536B5"/>
    <w:rsid w:val="002718BC"/>
    <w:rsid w:val="002769F5"/>
    <w:rsid w:val="00280DBC"/>
    <w:rsid w:val="00281D25"/>
    <w:rsid w:val="002917E4"/>
    <w:rsid w:val="00294726"/>
    <w:rsid w:val="002A0F56"/>
    <w:rsid w:val="002C6377"/>
    <w:rsid w:val="002C6E3F"/>
    <w:rsid w:val="002D66DB"/>
    <w:rsid w:val="002E124D"/>
    <w:rsid w:val="002E30FE"/>
    <w:rsid w:val="00302106"/>
    <w:rsid w:val="00303DC0"/>
    <w:rsid w:val="00306481"/>
    <w:rsid w:val="00315B96"/>
    <w:rsid w:val="00343DDE"/>
    <w:rsid w:val="003513FE"/>
    <w:rsid w:val="003659B8"/>
    <w:rsid w:val="003663DB"/>
    <w:rsid w:val="00367ADC"/>
    <w:rsid w:val="0037530E"/>
    <w:rsid w:val="0038239F"/>
    <w:rsid w:val="00394E95"/>
    <w:rsid w:val="003A3EB9"/>
    <w:rsid w:val="003C4260"/>
    <w:rsid w:val="003E1DBB"/>
    <w:rsid w:val="00401C0B"/>
    <w:rsid w:val="00411B05"/>
    <w:rsid w:val="00412FCA"/>
    <w:rsid w:val="00413B4E"/>
    <w:rsid w:val="0043256D"/>
    <w:rsid w:val="004447E2"/>
    <w:rsid w:val="0044692B"/>
    <w:rsid w:val="00450C1B"/>
    <w:rsid w:val="00470866"/>
    <w:rsid w:val="00473EA7"/>
    <w:rsid w:val="00474B62"/>
    <w:rsid w:val="004921FB"/>
    <w:rsid w:val="004A56F1"/>
    <w:rsid w:val="004D3A9A"/>
    <w:rsid w:val="0050608F"/>
    <w:rsid w:val="00507C62"/>
    <w:rsid w:val="0051163B"/>
    <w:rsid w:val="005211CE"/>
    <w:rsid w:val="00542297"/>
    <w:rsid w:val="00543E42"/>
    <w:rsid w:val="00547B63"/>
    <w:rsid w:val="00565DD3"/>
    <w:rsid w:val="00571997"/>
    <w:rsid w:val="00582175"/>
    <w:rsid w:val="00582C91"/>
    <w:rsid w:val="00583ACC"/>
    <w:rsid w:val="0059090E"/>
    <w:rsid w:val="00592510"/>
    <w:rsid w:val="0059635B"/>
    <w:rsid w:val="005A1295"/>
    <w:rsid w:val="005C1DCC"/>
    <w:rsid w:val="005C50EC"/>
    <w:rsid w:val="005D41DA"/>
    <w:rsid w:val="005E35DE"/>
    <w:rsid w:val="005F0DEF"/>
    <w:rsid w:val="00600321"/>
    <w:rsid w:val="00601865"/>
    <w:rsid w:val="00604570"/>
    <w:rsid w:val="00604883"/>
    <w:rsid w:val="00611D1B"/>
    <w:rsid w:val="00627EAE"/>
    <w:rsid w:val="00640CB2"/>
    <w:rsid w:val="00645F32"/>
    <w:rsid w:val="00655F04"/>
    <w:rsid w:val="006658EC"/>
    <w:rsid w:val="006729C8"/>
    <w:rsid w:val="00673D98"/>
    <w:rsid w:val="00685561"/>
    <w:rsid w:val="006952DB"/>
    <w:rsid w:val="006B0B94"/>
    <w:rsid w:val="006B112B"/>
    <w:rsid w:val="006B11C5"/>
    <w:rsid w:val="006B30D7"/>
    <w:rsid w:val="006B604D"/>
    <w:rsid w:val="006B7E70"/>
    <w:rsid w:val="006C760E"/>
    <w:rsid w:val="006F20BA"/>
    <w:rsid w:val="006F5267"/>
    <w:rsid w:val="006F6DE1"/>
    <w:rsid w:val="007066F3"/>
    <w:rsid w:val="00715752"/>
    <w:rsid w:val="00725D64"/>
    <w:rsid w:val="00746BA5"/>
    <w:rsid w:val="00755D67"/>
    <w:rsid w:val="007615BB"/>
    <w:rsid w:val="00762958"/>
    <w:rsid w:val="007671CA"/>
    <w:rsid w:val="00774F0E"/>
    <w:rsid w:val="00777DC3"/>
    <w:rsid w:val="007922F0"/>
    <w:rsid w:val="00792F39"/>
    <w:rsid w:val="007974A0"/>
    <w:rsid w:val="00797C3D"/>
    <w:rsid w:val="007B22E7"/>
    <w:rsid w:val="007C69B0"/>
    <w:rsid w:val="007D4F1E"/>
    <w:rsid w:val="007D6914"/>
    <w:rsid w:val="007D79D7"/>
    <w:rsid w:val="007E119A"/>
    <w:rsid w:val="007E3F26"/>
    <w:rsid w:val="007F3140"/>
    <w:rsid w:val="007F5DF9"/>
    <w:rsid w:val="008017B0"/>
    <w:rsid w:val="00802A51"/>
    <w:rsid w:val="00811942"/>
    <w:rsid w:val="00870AEE"/>
    <w:rsid w:val="008821E8"/>
    <w:rsid w:val="00884217"/>
    <w:rsid w:val="008858EE"/>
    <w:rsid w:val="0088696B"/>
    <w:rsid w:val="0089498C"/>
    <w:rsid w:val="008A33A9"/>
    <w:rsid w:val="008A358E"/>
    <w:rsid w:val="008A37CE"/>
    <w:rsid w:val="008B49BC"/>
    <w:rsid w:val="008B620E"/>
    <w:rsid w:val="008B7135"/>
    <w:rsid w:val="008C0E69"/>
    <w:rsid w:val="008D4183"/>
    <w:rsid w:val="008D57C5"/>
    <w:rsid w:val="008E0222"/>
    <w:rsid w:val="008E6774"/>
    <w:rsid w:val="008F726E"/>
    <w:rsid w:val="00901E26"/>
    <w:rsid w:val="00905226"/>
    <w:rsid w:val="009077C4"/>
    <w:rsid w:val="0094116E"/>
    <w:rsid w:val="00975268"/>
    <w:rsid w:val="00983387"/>
    <w:rsid w:val="009850BC"/>
    <w:rsid w:val="00991F2F"/>
    <w:rsid w:val="00996854"/>
    <w:rsid w:val="009A3923"/>
    <w:rsid w:val="009B0AF2"/>
    <w:rsid w:val="009B3FC5"/>
    <w:rsid w:val="009B6F2A"/>
    <w:rsid w:val="009C65B3"/>
    <w:rsid w:val="009D555A"/>
    <w:rsid w:val="009E3EA4"/>
    <w:rsid w:val="009F2A87"/>
    <w:rsid w:val="00A0366A"/>
    <w:rsid w:val="00A16995"/>
    <w:rsid w:val="00A31832"/>
    <w:rsid w:val="00A362B4"/>
    <w:rsid w:val="00A37D87"/>
    <w:rsid w:val="00A424B3"/>
    <w:rsid w:val="00A44305"/>
    <w:rsid w:val="00A52795"/>
    <w:rsid w:val="00A561AC"/>
    <w:rsid w:val="00A6256F"/>
    <w:rsid w:val="00A6271F"/>
    <w:rsid w:val="00A62777"/>
    <w:rsid w:val="00A70BF2"/>
    <w:rsid w:val="00A70D43"/>
    <w:rsid w:val="00A73555"/>
    <w:rsid w:val="00A757B8"/>
    <w:rsid w:val="00A81CC0"/>
    <w:rsid w:val="00A8578A"/>
    <w:rsid w:val="00A90812"/>
    <w:rsid w:val="00A94338"/>
    <w:rsid w:val="00AB00DE"/>
    <w:rsid w:val="00AB256E"/>
    <w:rsid w:val="00AB6DEC"/>
    <w:rsid w:val="00AC1532"/>
    <w:rsid w:val="00AC590E"/>
    <w:rsid w:val="00AD4EE0"/>
    <w:rsid w:val="00AE2523"/>
    <w:rsid w:val="00AF46E9"/>
    <w:rsid w:val="00AF5A1D"/>
    <w:rsid w:val="00B002E1"/>
    <w:rsid w:val="00B0205A"/>
    <w:rsid w:val="00B12AC2"/>
    <w:rsid w:val="00B25B0B"/>
    <w:rsid w:val="00B31572"/>
    <w:rsid w:val="00B34C7C"/>
    <w:rsid w:val="00B34DED"/>
    <w:rsid w:val="00B47711"/>
    <w:rsid w:val="00B47D06"/>
    <w:rsid w:val="00B57E60"/>
    <w:rsid w:val="00B65505"/>
    <w:rsid w:val="00B66510"/>
    <w:rsid w:val="00B70718"/>
    <w:rsid w:val="00B74441"/>
    <w:rsid w:val="00B871B3"/>
    <w:rsid w:val="00BB147B"/>
    <w:rsid w:val="00BB1FF8"/>
    <w:rsid w:val="00BB20AC"/>
    <w:rsid w:val="00BB4270"/>
    <w:rsid w:val="00BB754F"/>
    <w:rsid w:val="00BC17F7"/>
    <w:rsid w:val="00BD6BD5"/>
    <w:rsid w:val="00C24824"/>
    <w:rsid w:val="00C30DD4"/>
    <w:rsid w:val="00C332F7"/>
    <w:rsid w:val="00C37205"/>
    <w:rsid w:val="00C404BE"/>
    <w:rsid w:val="00C42587"/>
    <w:rsid w:val="00C50B53"/>
    <w:rsid w:val="00C860CD"/>
    <w:rsid w:val="00CB037F"/>
    <w:rsid w:val="00CC6FF4"/>
    <w:rsid w:val="00CD04EA"/>
    <w:rsid w:val="00CD26FC"/>
    <w:rsid w:val="00CD5031"/>
    <w:rsid w:val="00CD5A71"/>
    <w:rsid w:val="00CD7657"/>
    <w:rsid w:val="00CE079A"/>
    <w:rsid w:val="00D02A0C"/>
    <w:rsid w:val="00D04F45"/>
    <w:rsid w:val="00D271B2"/>
    <w:rsid w:val="00D451CF"/>
    <w:rsid w:val="00D46F70"/>
    <w:rsid w:val="00D60812"/>
    <w:rsid w:val="00D639DF"/>
    <w:rsid w:val="00D66E68"/>
    <w:rsid w:val="00D6721B"/>
    <w:rsid w:val="00D870F8"/>
    <w:rsid w:val="00D94523"/>
    <w:rsid w:val="00DC4253"/>
    <w:rsid w:val="00DD4F36"/>
    <w:rsid w:val="00DD6A64"/>
    <w:rsid w:val="00DE1DA3"/>
    <w:rsid w:val="00DE46C5"/>
    <w:rsid w:val="00DE742A"/>
    <w:rsid w:val="00DF0B69"/>
    <w:rsid w:val="00DF2B69"/>
    <w:rsid w:val="00DF5095"/>
    <w:rsid w:val="00DF66AA"/>
    <w:rsid w:val="00E068EA"/>
    <w:rsid w:val="00E07EB7"/>
    <w:rsid w:val="00E14419"/>
    <w:rsid w:val="00E24A42"/>
    <w:rsid w:val="00E279DD"/>
    <w:rsid w:val="00E80136"/>
    <w:rsid w:val="00E8373E"/>
    <w:rsid w:val="00E8660A"/>
    <w:rsid w:val="00E91FD2"/>
    <w:rsid w:val="00EC4D6B"/>
    <w:rsid w:val="00EC75B6"/>
    <w:rsid w:val="00EE3CDB"/>
    <w:rsid w:val="00EF049C"/>
    <w:rsid w:val="00F23135"/>
    <w:rsid w:val="00F248E2"/>
    <w:rsid w:val="00F52679"/>
    <w:rsid w:val="00F55300"/>
    <w:rsid w:val="00F628DB"/>
    <w:rsid w:val="00F748AE"/>
    <w:rsid w:val="00F76174"/>
    <w:rsid w:val="00F82A7A"/>
    <w:rsid w:val="00F845EF"/>
    <w:rsid w:val="00F85AE7"/>
    <w:rsid w:val="00F86CE7"/>
    <w:rsid w:val="00F9274D"/>
    <w:rsid w:val="00F97688"/>
    <w:rsid w:val="00F97EDA"/>
    <w:rsid w:val="00FA1824"/>
    <w:rsid w:val="00FB1E3E"/>
    <w:rsid w:val="00FB64FF"/>
    <w:rsid w:val="00FD313F"/>
    <w:rsid w:val="00FD3AB2"/>
    <w:rsid w:val="00FD6480"/>
    <w:rsid w:val="00FE7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A51"/>
    <w:pPr>
      <w:ind w:left="720"/>
      <w:contextualSpacing/>
    </w:pPr>
  </w:style>
  <w:style w:type="paragraph" w:styleId="FootnoteText">
    <w:name w:val="footnote text"/>
    <w:basedOn w:val="Normal"/>
    <w:link w:val="FootnoteTextChar"/>
    <w:uiPriority w:val="99"/>
    <w:semiHidden/>
    <w:unhideWhenUsed/>
    <w:rsid w:val="00FD64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80"/>
    <w:rPr>
      <w:sz w:val="20"/>
      <w:szCs w:val="20"/>
    </w:rPr>
  </w:style>
  <w:style w:type="character" w:styleId="FootnoteReference">
    <w:name w:val="footnote reference"/>
    <w:basedOn w:val="DefaultParagraphFont"/>
    <w:uiPriority w:val="99"/>
    <w:semiHidden/>
    <w:unhideWhenUsed/>
    <w:rsid w:val="00FD6480"/>
    <w:rPr>
      <w:vertAlign w:val="superscript"/>
    </w:rPr>
  </w:style>
  <w:style w:type="character" w:styleId="Hyperlink">
    <w:name w:val="Hyperlink"/>
    <w:basedOn w:val="DefaultParagraphFont"/>
    <w:uiPriority w:val="99"/>
    <w:unhideWhenUsed/>
    <w:rsid w:val="00A62777"/>
    <w:rPr>
      <w:color w:val="0000FF"/>
      <w:u w:val="single"/>
    </w:rPr>
  </w:style>
  <w:style w:type="paragraph" w:styleId="NormalWeb">
    <w:name w:val="Normal (Web)"/>
    <w:basedOn w:val="Normal"/>
    <w:uiPriority w:val="99"/>
    <w:semiHidden/>
    <w:unhideWhenUsed/>
    <w:rsid w:val="0044692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6DAE"/>
    <w:rPr>
      <w:color w:val="800080" w:themeColor="followedHyperlink"/>
      <w:u w:val="single"/>
    </w:rPr>
  </w:style>
  <w:style w:type="paragraph" w:styleId="BalloonText">
    <w:name w:val="Balloon Text"/>
    <w:basedOn w:val="Normal"/>
    <w:link w:val="BalloonTextChar"/>
    <w:uiPriority w:val="99"/>
    <w:semiHidden/>
    <w:unhideWhenUsed/>
    <w:rsid w:val="005C1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DCC"/>
    <w:rPr>
      <w:rFonts w:ascii="Tahoma" w:hAnsi="Tahoma" w:cs="Tahoma"/>
      <w:sz w:val="16"/>
      <w:szCs w:val="16"/>
    </w:rPr>
  </w:style>
  <w:style w:type="paragraph" w:styleId="Header">
    <w:name w:val="header"/>
    <w:basedOn w:val="Normal"/>
    <w:link w:val="HeaderChar"/>
    <w:uiPriority w:val="99"/>
    <w:unhideWhenUsed/>
    <w:rsid w:val="00FD3AB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D3AB2"/>
    <w:rPr>
      <w:sz w:val="18"/>
      <w:szCs w:val="18"/>
    </w:rPr>
  </w:style>
  <w:style w:type="paragraph" w:styleId="Footer">
    <w:name w:val="footer"/>
    <w:basedOn w:val="Normal"/>
    <w:link w:val="FooterChar"/>
    <w:uiPriority w:val="99"/>
    <w:unhideWhenUsed/>
    <w:rsid w:val="00FD3AB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D3AB2"/>
    <w:rPr>
      <w:sz w:val="18"/>
      <w:szCs w:val="18"/>
    </w:rPr>
  </w:style>
  <w:style w:type="character" w:styleId="CommentReference">
    <w:name w:val="annotation reference"/>
    <w:basedOn w:val="DefaultParagraphFont"/>
    <w:uiPriority w:val="99"/>
    <w:semiHidden/>
    <w:unhideWhenUsed/>
    <w:rsid w:val="00F748AE"/>
    <w:rPr>
      <w:sz w:val="16"/>
      <w:szCs w:val="16"/>
    </w:rPr>
  </w:style>
  <w:style w:type="paragraph" w:styleId="CommentText">
    <w:name w:val="annotation text"/>
    <w:basedOn w:val="Normal"/>
    <w:link w:val="CommentTextChar"/>
    <w:uiPriority w:val="99"/>
    <w:semiHidden/>
    <w:unhideWhenUsed/>
    <w:rsid w:val="00F748AE"/>
    <w:pPr>
      <w:spacing w:line="240" w:lineRule="auto"/>
    </w:pPr>
    <w:rPr>
      <w:sz w:val="20"/>
      <w:szCs w:val="20"/>
    </w:rPr>
  </w:style>
  <w:style w:type="character" w:customStyle="1" w:styleId="CommentTextChar">
    <w:name w:val="Comment Text Char"/>
    <w:basedOn w:val="DefaultParagraphFont"/>
    <w:link w:val="CommentText"/>
    <w:uiPriority w:val="99"/>
    <w:semiHidden/>
    <w:rsid w:val="00F748AE"/>
    <w:rPr>
      <w:sz w:val="20"/>
      <w:szCs w:val="20"/>
    </w:rPr>
  </w:style>
  <w:style w:type="paragraph" w:styleId="CommentSubject">
    <w:name w:val="annotation subject"/>
    <w:basedOn w:val="CommentText"/>
    <w:next w:val="CommentText"/>
    <w:link w:val="CommentSubjectChar"/>
    <w:uiPriority w:val="99"/>
    <w:semiHidden/>
    <w:unhideWhenUsed/>
    <w:rsid w:val="00F748AE"/>
    <w:rPr>
      <w:b/>
      <w:bCs/>
    </w:rPr>
  </w:style>
  <w:style w:type="character" w:customStyle="1" w:styleId="CommentSubjectChar">
    <w:name w:val="Comment Subject Char"/>
    <w:basedOn w:val="CommentTextChar"/>
    <w:link w:val="CommentSubject"/>
    <w:uiPriority w:val="99"/>
    <w:semiHidden/>
    <w:rsid w:val="00F748AE"/>
    <w:rPr>
      <w:b/>
      <w:bCs/>
      <w:sz w:val="20"/>
      <w:szCs w:val="20"/>
    </w:rPr>
  </w:style>
  <w:style w:type="paragraph" w:styleId="Revision">
    <w:name w:val="Revision"/>
    <w:hidden/>
    <w:uiPriority w:val="99"/>
    <w:semiHidden/>
    <w:rsid w:val="00F748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A51"/>
    <w:pPr>
      <w:ind w:left="720"/>
      <w:contextualSpacing/>
    </w:pPr>
  </w:style>
  <w:style w:type="paragraph" w:styleId="FootnoteText">
    <w:name w:val="footnote text"/>
    <w:basedOn w:val="Normal"/>
    <w:link w:val="FootnoteTextChar"/>
    <w:uiPriority w:val="99"/>
    <w:semiHidden/>
    <w:unhideWhenUsed/>
    <w:rsid w:val="00FD64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80"/>
    <w:rPr>
      <w:sz w:val="20"/>
      <w:szCs w:val="20"/>
    </w:rPr>
  </w:style>
  <w:style w:type="character" w:styleId="FootnoteReference">
    <w:name w:val="footnote reference"/>
    <w:basedOn w:val="DefaultParagraphFont"/>
    <w:uiPriority w:val="99"/>
    <w:semiHidden/>
    <w:unhideWhenUsed/>
    <w:rsid w:val="00FD6480"/>
    <w:rPr>
      <w:vertAlign w:val="superscript"/>
    </w:rPr>
  </w:style>
  <w:style w:type="character" w:styleId="Hyperlink">
    <w:name w:val="Hyperlink"/>
    <w:basedOn w:val="DefaultParagraphFont"/>
    <w:uiPriority w:val="99"/>
    <w:unhideWhenUsed/>
    <w:rsid w:val="00A62777"/>
    <w:rPr>
      <w:color w:val="0000FF"/>
      <w:u w:val="single"/>
    </w:rPr>
  </w:style>
  <w:style w:type="paragraph" w:styleId="NormalWeb">
    <w:name w:val="Normal (Web)"/>
    <w:basedOn w:val="Normal"/>
    <w:uiPriority w:val="99"/>
    <w:semiHidden/>
    <w:unhideWhenUsed/>
    <w:rsid w:val="0044692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46DAE"/>
    <w:rPr>
      <w:color w:val="800080" w:themeColor="followedHyperlink"/>
      <w:u w:val="single"/>
    </w:rPr>
  </w:style>
  <w:style w:type="paragraph" w:styleId="BalloonText">
    <w:name w:val="Balloon Text"/>
    <w:basedOn w:val="Normal"/>
    <w:link w:val="BalloonTextChar"/>
    <w:uiPriority w:val="99"/>
    <w:semiHidden/>
    <w:unhideWhenUsed/>
    <w:rsid w:val="005C1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DCC"/>
    <w:rPr>
      <w:rFonts w:ascii="Tahoma" w:hAnsi="Tahoma" w:cs="Tahoma"/>
      <w:sz w:val="16"/>
      <w:szCs w:val="16"/>
    </w:rPr>
  </w:style>
  <w:style w:type="paragraph" w:styleId="Header">
    <w:name w:val="header"/>
    <w:basedOn w:val="Normal"/>
    <w:link w:val="HeaderChar"/>
    <w:uiPriority w:val="99"/>
    <w:unhideWhenUsed/>
    <w:rsid w:val="00FD3AB2"/>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FD3AB2"/>
    <w:rPr>
      <w:sz w:val="18"/>
      <w:szCs w:val="18"/>
    </w:rPr>
  </w:style>
  <w:style w:type="paragraph" w:styleId="Footer">
    <w:name w:val="footer"/>
    <w:basedOn w:val="Normal"/>
    <w:link w:val="FooterChar"/>
    <w:uiPriority w:val="99"/>
    <w:unhideWhenUsed/>
    <w:rsid w:val="00FD3AB2"/>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FD3AB2"/>
    <w:rPr>
      <w:sz w:val="18"/>
      <w:szCs w:val="18"/>
    </w:rPr>
  </w:style>
  <w:style w:type="character" w:styleId="CommentReference">
    <w:name w:val="annotation reference"/>
    <w:basedOn w:val="DefaultParagraphFont"/>
    <w:uiPriority w:val="99"/>
    <w:semiHidden/>
    <w:unhideWhenUsed/>
    <w:rsid w:val="00F748AE"/>
    <w:rPr>
      <w:sz w:val="16"/>
      <w:szCs w:val="16"/>
    </w:rPr>
  </w:style>
  <w:style w:type="paragraph" w:styleId="CommentText">
    <w:name w:val="annotation text"/>
    <w:basedOn w:val="Normal"/>
    <w:link w:val="CommentTextChar"/>
    <w:uiPriority w:val="99"/>
    <w:semiHidden/>
    <w:unhideWhenUsed/>
    <w:rsid w:val="00F748AE"/>
    <w:pPr>
      <w:spacing w:line="240" w:lineRule="auto"/>
    </w:pPr>
    <w:rPr>
      <w:sz w:val="20"/>
      <w:szCs w:val="20"/>
    </w:rPr>
  </w:style>
  <w:style w:type="character" w:customStyle="1" w:styleId="CommentTextChar">
    <w:name w:val="Comment Text Char"/>
    <w:basedOn w:val="DefaultParagraphFont"/>
    <w:link w:val="CommentText"/>
    <w:uiPriority w:val="99"/>
    <w:semiHidden/>
    <w:rsid w:val="00F748AE"/>
    <w:rPr>
      <w:sz w:val="20"/>
      <w:szCs w:val="20"/>
    </w:rPr>
  </w:style>
  <w:style w:type="paragraph" w:styleId="CommentSubject">
    <w:name w:val="annotation subject"/>
    <w:basedOn w:val="CommentText"/>
    <w:next w:val="CommentText"/>
    <w:link w:val="CommentSubjectChar"/>
    <w:uiPriority w:val="99"/>
    <w:semiHidden/>
    <w:unhideWhenUsed/>
    <w:rsid w:val="00F748AE"/>
    <w:rPr>
      <w:b/>
      <w:bCs/>
    </w:rPr>
  </w:style>
  <w:style w:type="character" w:customStyle="1" w:styleId="CommentSubjectChar">
    <w:name w:val="Comment Subject Char"/>
    <w:basedOn w:val="CommentTextChar"/>
    <w:link w:val="CommentSubject"/>
    <w:uiPriority w:val="99"/>
    <w:semiHidden/>
    <w:rsid w:val="00F748AE"/>
    <w:rPr>
      <w:b/>
      <w:bCs/>
      <w:sz w:val="20"/>
      <w:szCs w:val="20"/>
    </w:rPr>
  </w:style>
  <w:style w:type="paragraph" w:styleId="Revision">
    <w:name w:val="Revision"/>
    <w:hidden/>
    <w:uiPriority w:val="99"/>
    <w:semiHidden/>
    <w:rsid w:val="00F748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914070">
      <w:bodyDiv w:val="1"/>
      <w:marLeft w:val="0"/>
      <w:marRight w:val="0"/>
      <w:marTop w:val="0"/>
      <w:marBottom w:val="0"/>
      <w:divBdr>
        <w:top w:val="none" w:sz="0" w:space="0" w:color="auto"/>
        <w:left w:val="none" w:sz="0" w:space="0" w:color="auto"/>
        <w:bottom w:val="none" w:sz="0" w:space="0" w:color="auto"/>
        <w:right w:val="none" w:sz="0" w:space="0" w:color="auto"/>
      </w:divBdr>
    </w:div>
    <w:div w:id="102486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economics.sas.upenn.edu/~dkrueger/research/consinc.pdf" TargetMode="External"/><Relationship Id="rId13" Type="http://schemas.openxmlformats.org/officeDocument/2006/relationships/hyperlink" Target="http://pubs.aeaweb.org/doi/pdfplus/10.1257/jep.25.4.165" TargetMode="External"/><Relationship Id="rId18" Type="http://schemas.openxmlformats.org/officeDocument/2006/relationships/hyperlink" Target="http://citeseerx.ist.psu.edu/viewdoc/download?doi=10.1.1.107.5196&amp;rep=rep1&amp;type=pdf" TargetMode="External"/><Relationship Id="rId26" Type="http://schemas.openxmlformats.org/officeDocument/2006/relationships/hyperlink" Target="http://www.edd.ca.gov/pdf_pub_ctr/de8714bb.pdf" TargetMode="External"/><Relationship Id="rId3" Type="http://schemas.openxmlformats.org/officeDocument/2006/relationships/hyperlink" Target="http://www.cbo.gov/sites/default/files/cbofiles/attachments/44604-AverageTaxRates.pdf" TargetMode="External"/><Relationship Id="rId21" Type="http://schemas.openxmlformats.org/officeDocument/2006/relationships/hyperlink" Target="http://www.nber.org/papers/w13982.pdf?new_window=1" TargetMode="External"/><Relationship Id="rId7" Type="http://schemas.openxmlformats.org/officeDocument/2006/relationships/hyperlink" Target="http://pubs.aeaweb.org/doi/pdfplus/10.1257/jep.27.3.21" TargetMode="External"/><Relationship Id="rId12" Type="http://schemas.openxmlformats.org/officeDocument/2006/relationships/hyperlink" Target="http://www.aei.org/article/economics/fiscal-policy/taxes/should-the-top-marginal-income-tax-rate-be-73-percent/" TargetMode="External"/><Relationship Id="rId17" Type="http://schemas.openxmlformats.org/officeDocument/2006/relationships/hyperlink" Target="http://www.umass.edu/preferen/gintis/intergen.pdf" TargetMode="External"/><Relationship Id="rId25" Type="http://schemas.openxmlformats.org/officeDocument/2006/relationships/hyperlink" Target="http://www.capitolhilltimes.com/2014/01/wage-subsidy-outsmarts-15-minimum/" TargetMode="External"/><Relationship Id="rId2" Type="http://schemas.openxmlformats.org/officeDocument/2006/relationships/hyperlink" Target="http://www.bls.gov/news.release/empsit.nr0.htm" TargetMode="External"/><Relationship Id="rId16" Type="http://schemas.openxmlformats.org/officeDocument/2006/relationships/hyperlink" Target="http://ideas.repec.org/h/eee/labchp/3-29.html" TargetMode="External"/><Relationship Id="rId20" Type="http://schemas.openxmlformats.org/officeDocument/2006/relationships/hyperlink" Target="http://www.pewstates.org/uploadedFiles/PCS_Assets/2013/Mobility-and-the-Metropolis.pdf" TargetMode="External"/><Relationship Id="rId29" Type="http://schemas.openxmlformats.org/officeDocument/2006/relationships/hyperlink" Target="http://www.treasury.gov/tigta/press/press_tigta-2013-33.htm" TargetMode="External"/><Relationship Id="rId1" Type="http://schemas.openxmlformats.org/officeDocument/2006/relationships/hyperlink" Target="http://www.census.gov/prod/2013pubs/p60-247.pdf" TargetMode="External"/><Relationship Id="rId6" Type="http://schemas.openxmlformats.org/officeDocument/2006/relationships/hyperlink" Target="http://www.nber.org/papers/w19110" TargetMode="External"/><Relationship Id="rId11" Type="http://schemas.openxmlformats.org/officeDocument/2006/relationships/hyperlink" Target="http://www.nber.org/papers/w16807" TargetMode="External"/><Relationship Id="rId24" Type="http://schemas.openxmlformats.org/officeDocument/2006/relationships/hyperlink" Target="http://www.nber.org/papers/w5679" TargetMode="External"/><Relationship Id="rId5" Type="http://schemas.openxmlformats.org/officeDocument/2006/relationships/hyperlink" Target="http://elsa.berkeley.edu/~saez/saez-UStopincomes-2012.pdf" TargetMode="External"/><Relationship Id="rId15" Type="http://schemas.openxmlformats.org/officeDocument/2006/relationships/hyperlink" Target="http://ideas.repec.org/p/boc/bocoec/398.html" TargetMode="External"/><Relationship Id="rId23" Type="http://schemas.openxmlformats.org/officeDocument/2006/relationships/hyperlink" Target="http://www.nber.org/papers/w6770.pdf?new_window=1" TargetMode="External"/><Relationship Id="rId28" Type="http://schemas.openxmlformats.org/officeDocument/2006/relationships/hyperlink" Target="http://ideas.repec.org/p/nbr/nberwo/14807.html" TargetMode="External"/><Relationship Id="rId10" Type="http://schemas.openxmlformats.org/officeDocument/2006/relationships/hyperlink" Target="http://www.nber.org/papers/w17982" TargetMode="External"/><Relationship Id="rId19" Type="http://schemas.openxmlformats.org/officeDocument/2006/relationships/hyperlink" Target="http://www.pewstates.org/uploadedFiles/PCS/Content-Level_Pages/Reports/2013/Moving_On_Up.pdf" TargetMode="External"/><Relationship Id="rId4" Type="http://schemas.openxmlformats.org/officeDocument/2006/relationships/hyperlink" Target="http://www.nber.org/papers/w19075" TargetMode="External"/><Relationship Id="rId9" Type="http://schemas.openxmlformats.org/officeDocument/2006/relationships/hyperlink" Target="http://www.ucl.ac.uk/~uctp39a/BBP%20AER.pdf" TargetMode="External"/><Relationship Id="rId14" Type="http://schemas.openxmlformats.org/officeDocument/2006/relationships/hyperlink" Target="http://www.bostonfed.org/economic/nerr/rr2002/q4/issues.pdf" TargetMode="External"/><Relationship Id="rId22" Type="http://schemas.openxmlformats.org/officeDocument/2006/relationships/hyperlink" Target="http://ideas.repec.org/p/hrv/faseco/4341691.html" TargetMode="External"/><Relationship Id="rId27" Type="http://schemas.openxmlformats.org/officeDocument/2006/relationships/hyperlink" Target="http://www.bls.gov/cps/minwage201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E20CD-9E02-4CFE-8F60-DBF0E5A2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4793</Words>
  <Characters>27322</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ADM.S</dc:creator>
  <cp:lastModifiedBy>Colleen</cp:lastModifiedBy>
  <cp:revision>2</cp:revision>
  <cp:lastPrinted>2014-01-15T18:13:00Z</cp:lastPrinted>
  <dcterms:created xsi:type="dcterms:W3CDTF">2014-01-15T19:00:00Z</dcterms:created>
  <dcterms:modified xsi:type="dcterms:W3CDTF">2014-01-15T19:00:00Z</dcterms:modified>
</cp:coreProperties>
</file>